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680BD" w14:textId="3CD232BA" w:rsidR="00F304D9" w:rsidRDefault="00626F32" w:rsidP="00AD02AE">
      <w:pPr>
        <w:spacing w:after="0" w:line="240" w:lineRule="auto"/>
        <w:jc w:val="center"/>
        <w:rPr>
          <w:rFonts w:ascii="Book Antiqua" w:hAnsi="Book Antiqua" w:cs="Times New Roman"/>
          <w:b/>
          <w:bCs/>
          <w:sz w:val="32"/>
          <w:szCs w:val="32"/>
          <w:lang w:val="da-DK"/>
        </w:rPr>
      </w:pPr>
      <w:r>
        <w:rPr>
          <w:rFonts w:ascii="Book Antiqua" w:hAnsi="Book Antiqua" w:cs="Times New Roman"/>
          <w:b/>
          <w:bCs/>
          <w:sz w:val="32"/>
          <w:szCs w:val="32"/>
          <w:lang w:val="da-DK"/>
        </w:rPr>
        <w:t xml:space="preserve"> </w:t>
      </w:r>
      <w:r w:rsidR="00F4703B" w:rsidRPr="00C9654F">
        <w:rPr>
          <w:rFonts w:ascii="Book Antiqua" w:hAnsi="Book Antiqua" w:cs="Times New Roman"/>
          <w:b/>
          <w:bCs/>
          <w:sz w:val="32"/>
          <w:szCs w:val="32"/>
          <w:lang w:val="da-DK"/>
        </w:rPr>
        <w:t>IMPLIKASI DUALITAS KEDUDUKAN BUMN TERHADAP KEMANDIRIAN KORPORASI DAN FUNGSI PELAYANAN PUBLIK</w:t>
      </w:r>
    </w:p>
    <w:p w14:paraId="66F0E176" w14:textId="77777777" w:rsidR="00AD02AE" w:rsidRPr="00AD02AE" w:rsidRDefault="00AD02AE" w:rsidP="00AD02AE">
      <w:pPr>
        <w:spacing w:after="0" w:line="240" w:lineRule="auto"/>
        <w:jc w:val="center"/>
        <w:rPr>
          <w:rFonts w:ascii="Book Antiqua" w:hAnsi="Book Antiqua" w:cs="Times New Roman"/>
          <w:b/>
          <w:bCs/>
          <w:lang w:val="da-DK"/>
        </w:rPr>
      </w:pPr>
    </w:p>
    <w:p w14:paraId="7C398FFF" w14:textId="6782620D" w:rsidR="00F304D9" w:rsidRPr="00C9654F" w:rsidRDefault="00F4703B" w:rsidP="00AD02AE">
      <w:pPr>
        <w:spacing w:after="0" w:line="240" w:lineRule="auto"/>
        <w:ind w:left="180" w:right="738"/>
        <w:jc w:val="center"/>
        <w:rPr>
          <w:rFonts w:ascii="Book Antiqua" w:hAnsi="Book Antiqua" w:cs="Times New Roman"/>
          <w:color w:val="467886" w:themeColor="hyperlink"/>
          <w:u w:val="single"/>
          <w:lang w:val="da-DK"/>
        </w:rPr>
      </w:pPr>
      <w:r w:rsidRPr="00C9654F">
        <w:rPr>
          <w:rFonts w:ascii="Book Antiqua" w:hAnsi="Book Antiqua" w:cs="Times New Roman"/>
          <w:lang w:val="da-DK"/>
        </w:rPr>
        <w:t xml:space="preserve">Syafana Hanifah de Vries, Fakultas Hukum Universitas Negeri Semarang, e-mail: </w:t>
      </w:r>
      <w:hyperlink r:id="rId8" w:history="1">
        <w:r w:rsidRPr="00C9654F">
          <w:rPr>
            <w:rStyle w:val="Hyperlink"/>
            <w:rFonts w:ascii="Book Antiqua" w:hAnsi="Book Antiqua" w:cs="Times New Roman"/>
            <w:lang w:val="da-DK"/>
          </w:rPr>
          <w:t>syafanahanifah@students.unnes.ac.id</w:t>
        </w:r>
      </w:hyperlink>
    </w:p>
    <w:p w14:paraId="4A0FF6A1" w14:textId="47A23252" w:rsidR="00F304D9" w:rsidRDefault="00F304D9" w:rsidP="00AD02AE">
      <w:pPr>
        <w:spacing w:after="0" w:line="240" w:lineRule="auto"/>
        <w:ind w:left="900" w:right="918"/>
        <w:jc w:val="center"/>
        <w:rPr>
          <w:rStyle w:val="Hyperlink"/>
          <w:rFonts w:ascii="Book Antiqua" w:hAnsi="Book Antiqua" w:cs="Times New Roman"/>
          <w:lang w:val="da-DK"/>
        </w:rPr>
      </w:pPr>
      <w:r w:rsidRPr="00C9654F">
        <w:rPr>
          <w:rFonts w:ascii="Book Antiqua" w:hAnsi="Book Antiqua" w:cs="Times New Roman"/>
          <w:lang w:val="da-DK"/>
        </w:rPr>
        <w:t>Ratih Damayanti, Fakultas Hukum Universitas Negeri Semarang, e</w:t>
      </w:r>
      <w:r w:rsidR="00B574C7">
        <w:rPr>
          <w:rFonts w:ascii="Book Antiqua" w:hAnsi="Book Antiqua" w:cs="Times New Roman"/>
          <w:lang w:val="da-DK"/>
        </w:rPr>
        <w:t>-</w:t>
      </w:r>
      <w:r w:rsidRPr="00C9654F">
        <w:rPr>
          <w:rFonts w:ascii="Book Antiqua" w:hAnsi="Book Antiqua" w:cs="Times New Roman"/>
          <w:lang w:val="da-DK"/>
        </w:rPr>
        <w:t>mail:</w:t>
      </w:r>
      <w:r w:rsidR="00B574C7">
        <w:rPr>
          <w:rFonts w:ascii="Book Antiqua" w:hAnsi="Book Antiqua" w:cs="Times New Roman"/>
          <w:lang w:val="da-DK"/>
        </w:rPr>
        <w:t xml:space="preserve"> </w:t>
      </w:r>
      <w:hyperlink r:id="rId9" w:history="1">
        <w:r w:rsidR="00B574C7" w:rsidRPr="00177D9A">
          <w:rPr>
            <w:rStyle w:val="Hyperlink"/>
            <w:rFonts w:ascii="Book Antiqua" w:hAnsi="Book Antiqua" w:cs="Times New Roman"/>
            <w:lang w:val="da-DK"/>
          </w:rPr>
          <w:t>ratihdamayanti@mail.unnes.ac.id</w:t>
        </w:r>
      </w:hyperlink>
    </w:p>
    <w:p w14:paraId="347149BC" w14:textId="77777777" w:rsidR="00AD02AE" w:rsidRDefault="00AD02AE" w:rsidP="00AD02AE">
      <w:pPr>
        <w:spacing w:after="0" w:line="240" w:lineRule="auto"/>
        <w:ind w:left="900" w:right="918"/>
        <w:jc w:val="center"/>
        <w:rPr>
          <w:rFonts w:ascii="Book Antiqua" w:hAnsi="Book Antiqua" w:cs="Times New Roman"/>
          <w:lang w:val="da-DK"/>
        </w:rPr>
      </w:pPr>
    </w:p>
    <w:p w14:paraId="195A7A43" w14:textId="5FA38433" w:rsidR="00AD02AE" w:rsidRPr="008259AD" w:rsidRDefault="00AD02AE" w:rsidP="00AD02AE">
      <w:pPr>
        <w:spacing w:after="0" w:line="240" w:lineRule="auto"/>
        <w:jc w:val="center"/>
        <w:rPr>
          <w:rFonts w:ascii="Book Antiqua" w:hAnsi="Book Antiqua"/>
          <w:sz w:val="20"/>
          <w:szCs w:val="20"/>
        </w:rPr>
      </w:pPr>
      <w:r w:rsidRPr="00AD02AE">
        <w:rPr>
          <w:rFonts w:ascii="Book Antiqua" w:hAnsi="Book Antiqua"/>
          <w:sz w:val="20"/>
          <w:szCs w:val="20"/>
          <w:lang w:val="id-ID"/>
        </w:rPr>
        <w:t xml:space="preserve">doi: </w:t>
      </w:r>
      <w:hyperlink r:id="rId10" w:history="1">
        <w:r w:rsidR="00103A30" w:rsidRPr="00053F01">
          <w:rPr>
            <w:rStyle w:val="Hyperlink"/>
            <w:rFonts w:ascii="Book Antiqua" w:hAnsi="Book Antiqua"/>
            <w:sz w:val="20"/>
            <w:szCs w:val="20"/>
            <w:lang w:val="id-ID"/>
          </w:rPr>
          <w:t>https://doi.org/10.24843/KS.2025.v13.i10.p0</w:t>
        </w:r>
      </w:hyperlink>
      <w:r w:rsidR="008259AD">
        <w:rPr>
          <w:rStyle w:val="Hyperlink"/>
          <w:rFonts w:ascii="Book Antiqua" w:hAnsi="Book Antiqua"/>
          <w:sz w:val="20"/>
          <w:szCs w:val="20"/>
        </w:rPr>
        <w:t>5</w:t>
      </w:r>
    </w:p>
    <w:p w14:paraId="52EBDAF8" w14:textId="77777777" w:rsidR="00AD02AE" w:rsidRDefault="00AD02AE" w:rsidP="00AD02AE">
      <w:pPr>
        <w:spacing w:after="0" w:line="240" w:lineRule="auto"/>
        <w:jc w:val="center"/>
        <w:rPr>
          <w:rFonts w:ascii="Book Antiqua" w:hAnsi="Book Antiqua" w:cs="Times New Roman"/>
          <w:b/>
          <w:bCs/>
        </w:rPr>
      </w:pPr>
    </w:p>
    <w:p w14:paraId="57492222" w14:textId="792671E2" w:rsidR="00F4703B" w:rsidRPr="00AD02AE" w:rsidRDefault="00F4703B" w:rsidP="00AD02AE">
      <w:pPr>
        <w:spacing w:after="0" w:line="240" w:lineRule="auto"/>
        <w:jc w:val="center"/>
        <w:rPr>
          <w:rFonts w:ascii="Book Antiqua" w:hAnsi="Book Antiqua" w:cs="Times New Roman"/>
          <w:b/>
          <w:bCs/>
          <w:sz w:val="20"/>
          <w:szCs w:val="20"/>
        </w:rPr>
      </w:pPr>
      <w:r w:rsidRPr="00AD02AE">
        <w:rPr>
          <w:rFonts w:ascii="Book Antiqua" w:hAnsi="Book Antiqua" w:cs="Times New Roman"/>
          <w:b/>
          <w:bCs/>
          <w:sz w:val="20"/>
          <w:szCs w:val="20"/>
        </w:rPr>
        <w:t>ABSTRAK</w:t>
      </w:r>
    </w:p>
    <w:p w14:paraId="258B1B59" w14:textId="23FC94A7" w:rsidR="003707CA" w:rsidRPr="00AD02AE" w:rsidRDefault="003707CA" w:rsidP="00AD02AE">
      <w:pPr>
        <w:spacing w:after="0" w:line="240" w:lineRule="auto"/>
        <w:jc w:val="both"/>
        <w:rPr>
          <w:rFonts w:ascii="Book Antiqua" w:hAnsi="Book Antiqua" w:cs="Times New Roman"/>
          <w:sz w:val="20"/>
          <w:szCs w:val="20"/>
        </w:rPr>
      </w:pPr>
      <w:r w:rsidRPr="00AD02AE">
        <w:rPr>
          <w:rFonts w:ascii="Book Antiqua" w:hAnsi="Book Antiqua" w:cs="Times New Roman"/>
          <w:sz w:val="20"/>
          <w:szCs w:val="20"/>
        </w:rPr>
        <w:t>Penelitian ini bertujuan untuk mengkaji Badan Usaha Milik Negara</w:t>
      </w:r>
      <w:r w:rsidR="00A063D8" w:rsidRPr="00AD02AE">
        <w:rPr>
          <w:rFonts w:ascii="Book Antiqua" w:hAnsi="Book Antiqua" w:cs="Times New Roman"/>
          <w:sz w:val="20"/>
          <w:szCs w:val="20"/>
        </w:rPr>
        <w:t xml:space="preserve"> (BUMN)</w:t>
      </w:r>
      <w:r w:rsidRPr="00AD02AE">
        <w:rPr>
          <w:rFonts w:ascii="Book Antiqua" w:hAnsi="Book Antiqua" w:cs="Times New Roman"/>
          <w:sz w:val="20"/>
          <w:szCs w:val="20"/>
        </w:rPr>
        <w:t xml:space="preserve"> khususnya pada dualitas kedudukan BUMN</w:t>
      </w:r>
      <w:r w:rsidR="00C360E5" w:rsidRPr="00AD02AE">
        <w:rPr>
          <w:rFonts w:ascii="Book Antiqua" w:hAnsi="Book Antiqua" w:cs="Times New Roman"/>
          <w:sz w:val="20"/>
          <w:szCs w:val="20"/>
        </w:rPr>
        <w:t xml:space="preserve"> sebagai korporasi yang berorientasi pada keuntungan sekaligus </w:t>
      </w:r>
      <w:r w:rsidR="00A063D8" w:rsidRPr="00AD02AE">
        <w:rPr>
          <w:rFonts w:ascii="Book Antiqua" w:hAnsi="Book Antiqua" w:cs="Times New Roman"/>
          <w:sz w:val="20"/>
          <w:szCs w:val="20"/>
        </w:rPr>
        <w:t xml:space="preserve">sebagai </w:t>
      </w:r>
      <w:r w:rsidR="00C360E5" w:rsidRPr="00AD02AE">
        <w:rPr>
          <w:rFonts w:ascii="Book Antiqua" w:hAnsi="Book Antiqua" w:cs="Times New Roman"/>
          <w:sz w:val="20"/>
          <w:szCs w:val="20"/>
        </w:rPr>
        <w:t>instrumen negara dalam penyelenggaraan pelayanan publik</w:t>
      </w:r>
      <w:r w:rsidRPr="00AD02AE">
        <w:rPr>
          <w:rFonts w:ascii="Book Antiqua" w:hAnsi="Book Antiqua" w:cs="Times New Roman"/>
          <w:sz w:val="20"/>
          <w:szCs w:val="20"/>
        </w:rPr>
        <w:t xml:space="preserve"> serta implikasinya terhadap kemandirian korporasi dan fungsi pelayanan publik. </w:t>
      </w:r>
      <w:r w:rsidR="00A063D8" w:rsidRPr="00AD02AE">
        <w:rPr>
          <w:rFonts w:ascii="Book Antiqua" w:hAnsi="Book Antiqua" w:cs="Times New Roman"/>
          <w:sz w:val="20"/>
          <w:szCs w:val="20"/>
        </w:rPr>
        <w:t xml:space="preserve">Undang-Undang Nomor 1 Tahun 2025 tentang BUMN menghadirkan pembaharuan dan menawarkan Solusi dengan memperluas ruang kemandirian korporasi, namun disaat yang bersamaan justru juga meningkatkan beban kewajiban </w:t>
      </w:r>
      <w:r w:rsidR="00A063D8" w:rsidRPr="00AD02AE">
        <w:rPr>
          <w:rFonts w:ascii="Book Antiqua" w:hAnsi="Book Antiqua" w:cs="Times New Roman"/>
          <w:i/>
          <w:iCs/>
          <w:sz w:val="20"/>
          <w:szCs w:val="20"/>
        </w:rPr>
        <w:t>Public Service Obligation</w:t>
      </w:r>
      <w:r w:rsidR="00A063D8" w:rsidRPr="00AD02AE">
        <w:rPr>
          <w:rFonts w:ascii="Book Antiqua" w:hAnsi="Book Antiqua" w:cs="Times New Roman"/>
          <w:sz w:val="20"/>
          <w:szCs w:val="20"/>
        </w:rPr>
        <w:t xml:space="preserve"> (PSO). </w:t>
      </w:r>
      <w:r w:rsidRPr="00AD02AE">
        <w:rPr>
          <w:rFonts w:ascii="Book Antiqua" w:hAnsi="Book Antiqua" w:cs="Times New Roman"/>
          <w:sz w:val="20"/>
          <w:szCs w:val="20"/>
        </w:rPr>
        <w:t>Kondisi ini menimbulkan tumpang tindih antara hukum korporasi dan hukum administrasi negara yang berdampak</w:t>
      </w:r>
      <w:r w:rsidR="00650F15" w:rsidRPr="00AD02AE">
        <w:rPr>
          <w:rFonts w:ascii="Book Antiqua" w:hAnsi="Book Antiqua" w:cs="Times New Roman"/>
          <w:sz w:val="20"/>
          <w:szCs w:val="20"/>
        </w:rPr>
        <w:t xml:space="preserve"> menimbulkan ambivalensi</w:t>
      </w:r>
      <w:r w:rsidR="00A063D8" w:rsidRPr="00AD02AE">
        <w:rPr>
          <w:rFonts w:ascii="Book Antiqua" w:hAnsi="Book Antiqua" w:cs="Times New Roman"/>
          <w:sz w:val="20"/>
          <w:szCs w:val="20"/>
        </w:rPr>
        <w:t>, dimana secara normatif BUMN lebih mandiri, namun secara praktis tetap terikat dilema kewajiban ganda</w:t>
      </w:r>
      <w:r w:rsidRPr="00AD02AE">
        <w:rPr>
          <w:rFonts w:ascii="Book Antiqua" w:hAnsi="Book Antiqua" w:cs="Times New Roman"/>
          <w:sz w:val="20"/>
          <w:szCs w:val="20"/>
        </w:rPr>
        <w:t>.</w:t>
      </w:r>
      <w:r w:rsidR="00650F15" w:rsidRPr="00AD02AE">
        <w:rPr>
          <w:rFonts w:ascii="Book Antiqua" w:hAnsi="Book Antiqua" w:cs="Times New Roman"/>
          <w:sz w:val="20"/>
          <w:szCs w:val="20"/>
        </w:rPr>
        <w:t xml:space="preserve"> </w:t>
      </w:r>
      <w:r w:rsidR="00C360E5" w:rsidRPr="00AD02AE">
        <w:rPr>
          <w:rFonts w:ascii="Book Antiqua" w:hAnsi="Book Antiqua" w:cs="Times New Roman"/>
          <w:sz w:val="20"/>
          <w:szCs w:val="20"/>
        </w:rPr>
        <w:t xml:space="preserve">Metode penelitian dilakukan menggunakan metode yuridis normatif dengan pendekatan interdisipliner hukum korporasi dan hukum administrasi negara. Hasil analisis menunjukkan bahwa harmonisasi dualitas kedudukan BUMN memerlukan mekanisme normatif berupa kompensasi PSO yang adil, penerapan prinsip </w:t>
      </w:r>
      <w:r w:rsidR="00C360E5" w:rsidRPr="00AD02AE">
        <w:rPr>
          <w:rFonts w:ascii="Book Antiqua" w:hAnsi="Book Antiqua" w:cs="Times New Roman"/>
          <w:i/>
          <w:iCs/>
          <w:sz w:val="20"/>
          <w:szCs w:val="20"/>
        </w:rPr>
        <w:t>good corporate governance</w:t>
      </w:r>
      <w:r w:rsidR="00C360E5" w:rsidRPr="00AD02AE">
        <w:rPr>
          <w:rFonts w:ascii="Book Antiqua" w:hAnsi="Book Antiqua" w:cs="Times New Roman"/>
          <w:sz w:val="20"/>
          <w:szCs w:val="20"/>
        </w:rPr>
        <w:t xml:space="preserve">, perlindungan manajerial melalui </w:t>
      </w:r>
      <w:r w:rsidR="00C360E5" w:rsidRPr="00AD02AE">
        <w:rPr>
          <w:rFonts w:ascii="Book Antiqua" w:hAnsi="Book Antiqua" w:cs="Times New Roman"/>
          <w:i/>
          <w:iCs/>
          <w:sz w:val="20"/>
          <w:szCs w:val="20"/>
        </w:rPr>
        <w:t>business judgment rule</w:t>
      </w:r>
      <w:r w:rsidR="00C360E5" w:rsidRPr="00AD02AE">
        <w:rPr>
          <w:rFonts w:ascii="Book Antiqua" w:hAnsi="Book Antiqua" w:cs="Times New Roman"/>
          <w:sz w:val="20"/>
          <w:szCs w:val="20"/>
        </w:rPr>
        <w:t>, serta pengawasan atas potensi monopoli.</w:t>
      </w:r>
    </w:p>
    <w:p w14:paraId="5E2A4694" w14:textId="77777777" w:rsidR="005F4750" w:rsidRPr="00AD02AE" w:rsidRDefault="005F4750" w:rsidP="00AD02AE">
      <w:pPr>
        <w:spacing w:after="0" w:line="240" w:lineRule="auto"/>
        <w:jc w:val="both"/>
        <w:rPr>
          <w:rFonts w:ascii="Book Antiqua" w:hAnsi="Book Antiqua" w:cs="Times New Roman"/>
          <w:sz w:val="20"/>
          <w:szCs w:val="20"/>
        </w:rPr>
      </w:pPr>
    </w:p>
    <w:p w14:paraId="1114288E" w14:textId="3E776B13" w:rsidR="00F4703B" w:rsidRPr="00103A30" w:rsidRDefault="00F4703B" w:rsidP="00AD02AE">
      <w:pPr>
        <w:spacing w:after="0" w:line="240" w:lineRule="auto"/>
        <w:jc w:val="both"/>
        <w:rPr>
          <w:rFonts w:ascii="Book Antiqua" w:hAnsi="Book Antiqua" w:cs="Times New Roman"/>
          <w:sz w:val="20"/>
          <w:szCs w:val="20"/>
          <w:lang w:val="fi-FI"/>
        </w:rPr>
      </w:pPr>
      <w:r w:rsidRPr="00103A30">
        <w:rPr>
          <w:rFonts w:ascii="Book Antiqua" w:hAnsi="Book Antiqua" w:cs="Times New Roman"/>
          <w:b/>
          <w:bCs/>
          <w:sz w:val="20"/>
          <w:szCs w:val="20"/>
          <w:lang w:val="fi-FI"/>
        </w:rPr>
        <w:t>Kata Kunci:</w:t>
      </w:r>
      <w:r w:rsidR="00C360E5" w:rsidRPr="00103A30">
        <w:rPr>
          <w:rFonts w:ascii="Book Antiqua" w:hAnsi="Book Antiqua" w:cs="Times New Roman"/>
          <w:sz w:val="20"/>
          <w:szCs w:val="20"/>
          <w:lang w:val="fi-FI"/>
        </w:rPr>
        <w:t xml:space="preserve"> </w:t>
      </w:r>
      <w:r w:rsidR="00817A6E" w:rsidRPr="00103A30">
        <w:rPr>
          <w:rFonts w:ascii="Book Antiqua" w:hAnsi="Book Antiqua" w:cs="Times New Roman"/>
          <w:sz w:val="20"/>
          <w:szCs w:val="20"/>
          <w:lang w:val="fi-FI"/>
        </w:rPr>
        <w:t>BUMN</w:t>
      </w:r>
      <w:r w:rsidR="00C360E5" w:rsidRPr="00103A30">
        <w:rPr>
          <w:rFonts w:ascii="Book Antiqua" w:hAnsi="Book Antiqua" w:cs="Times New Roman"/>
          <w:sz w:val="20"/>
          <w:szCs w:val="20"/>
          <w:lang w:val="fi-FI"/>
        </w:rPr>
        <w:t xml:space="preserve">, </w:t>
      </w:r>
      <w:r w:rsidR="00817A6E" w:rsidRPr="00103A30">
        <w:rPr>
          <w:rFonts w:ascii="Book Antiqua" w:hAnsi="Book Antiqua" w:cs="Times New Roman"/>
          <w:sz w:val="20"/>
          <w:szCs w:val="20"/>
          <w:lang w:val="fi-FI"/>
        </w:rPr>
        <w:t xml:space="preserve">Dualitas Kedudukan, </w:t>
      </w:r>
      <w:r w:rsidR="00C360E5" w:rsidRPr="00103A30">
        <w:rPr>
          <w:rFonts w:ascii="Book Antiqua" w:hAnsi="Book Antiqua" w:cs="Times New Roman"/>
          <w:sz w:val="20"/>
          <w:szCs w:val="20"/>
          <w:lang w:val="fi-FI"/>
        </w:rPr>
        <w:t>Korporasi, Fungsi Pelayanan Publik</w:t>
      </w:r>
    </w:p>
    <w:p w14:paraId="0710F58F" w14:textId="77777777" w:rsidR="00D65D37" w:rsidRPr="00103A30" w:rsidRDefault="00D65D37" w:rsidP="00AD02AE">
      <w:pPr>
        <w:spacing w:after="0" w:line="240" w:lineRule="auto"/>
        <w:jc w:val="both"/>
        <w:rPr>
          <w:rFonts w:ascii="Book Antiqua" w:hAnsi="Book Antiqua" w:cs="Times New Roman"/>
          <w:sz w:val="20"/>
          <w:szCs w:val="20"/>
          <w:lang w:val="fi-FI"/>
        </w:rPr>
      </w:pPr>
    </w:p>
    <w:p w14:paraId="0EB843A5" w14:textId="2761D317" w:rsidR="00F4703B" w:rsidRPr="00AD02AE" w:rsidRDefault="00F4703B" w:rsidP="00AD02AE">
      <w:pPr>
        <w:spacing w:after="0" w:line="240" w:lineRule="auto"/>
        <w:jc w:val="center"/>
        <w:rPr>
          <w:rFonts w:ascii="Book Antiqua" w:hAnsi="Book Antiqua" w:cs="Times New Roman"/>
          <w:b/>
          <w:bCs/>
          <w:sz w:val="20"/>
          <w:szCs w:val="20"/>
        </w:rPr>
      </w:pPr>
      <w:r w:rsidRPr="00AD02AE">
        <w:rPr>
          <w:rFonts w:ascii="Book Antiqua" w:hAnsi="Book Antiqua" w:cs="Times New Roman"/>
          <w:b/>
          <w:bCs/>
          <w:sz w:val="20"/>
          <w:szCs w:val="20"/>
        </w:rPr>
        <w:t>ABSTRACT</w:t>
      </w:r>
    </w:p>
    <w:p w14:paraId="036C243B" w14:textId="436D417F" w:rsidR="00817A6E" w:rsidRDefault="00D65D37" w:rsidP="00AD02AE">
      <w:pPr>
        <w:spacing w:after="0" w:line="240" w:lineRule="auto"/>
        <w:jc w:val="both"/>
        <w:rPr>
          <w:rFonts w:ascii="Book Antiqua" w:hAnsi="Book Antiqua" w:cs="Times New Roman"/>
          <w:i/>
          <w:iCs/>
          <w:sz w:val="20"/>
          <w:szCs w:val="20"/>
        </w:rPr>
      </w:pPr>
      <w:r w:rsidRPr="00AD02AE">
        <w:rPr>
          <w:rFonts w:ascii="Book Antiqua" w:hAnsi="Book Antiqua" w:cs="Times New Roman"/>
          <w:i/>
          <w:iCs/>
          <w:sz w:val="20"/>
          <w:szCs w:val="20"/>
        </w:rPr>
        <w:t>This study aims to examine State-Owned Enterprises (SOEs) with a particular focus on the duality of their legal status—as profit-oriented corporations and simultaneously as state instruments in the provision of public services—and its implications for corporate independence and public service functions. Law No. 1 of 2025 concerning SOEs introduces legal reform and offers solutions by expanding the scope of corporate autonomy; however, at the same time, it also increases the burden of Public Service Obligation (PSO). This situation creates an overlap between corporate law and administrative law, resulting in ambivalence wherein SOEs are normatively more autonomous yet remain practically bound by dual obligations. The research employs a normative juridical method with an interdisciplinary approach combining corporate law and administrative law. The findings indicate that harmonizing the dual status of SOEs requires normative mechanisms such as fair PSO compensation, the implementation of good corporate governance principles, managerial protection through the business judgment rule, and effective oversight to prevent potential monopolistic practices.</w:t>
      </w:r>
    </w:p>
    <w:p w14:paraId="51766DAB" w14:textId="77777777" w:rsidR="00AD02AE" w:rsidRPr="00AD02AE" w:rsidRDefault="00AD02AE" w:rsidP="00AD02AE">
      <w:pPr>
        <w:spacing w:after="0" w:line="240" w:lineRule="auto"/>
        <w:jc w:val="both"/>
        <w:rPr>
          <w:rFonts w:ascii="Book Antiqua" w:hAnsi="Book Antiqua" w:cs="Times New Roman"/>
          <w:b/>
          <w:bCs/>
          <w:i/>
          <w:iCs/>
          <w:sz w:val="20"/>
          <w:szCs w:val="20"/>
        </w:rPr>
      </w:pPr>
    </w:p>
    <w:p w14:paraId="51910817" w14:textId="4E52C65E" w:rsidR="0037506C" w:rsidRPr="00AD02AE" w:rsidRDefault="00F4703B" w:rsidP="00AD02AE">
      <w:pPr>
        <w:spacing w:after="0" w:line="240" w:lineRule="auto"/>
        <w:jc w:val="both"/>
        <w:rPr>
          <w:rFonts w:ascii="Book Antiqua" w:hAnsi="Book Antiqua" w:cs="Times New Roman"/>
          <w:sz w:val="20"/>
          <w:szCs w:val="20"/>
        </w:rPr>
      </w:pPr>
      <w:r w:rsidRPr="00AD02AE">
        <w:rPr>
          <w:rFonts w:ascii="Book Antiqua" w:hAnsi="Book Antiqua" w:cs="Times New Roman"/>
          <w:b/>
          <w:bCs/>
          <w:i/>
          <w:iCs/>
          <w:sz w:val="20"/>
          <w:szCs w:val="20"/>
        </w:rPr>
        <w:t>Key Words:</w:t>
      </w:r>
      <w:r w:rsidR="00817A6E" w:rsidRPr="00AD02AE">
        <w:rPr>
          <w:rFonts w:ascii="Book Antiqua" w:hAnsi="Book Antiqua" w:cs="Times New Roman"/>
          <w:i/>
          <w:iCs/>
          <w:sz w:val="20"/>
          <w:szCs w:val="20"/>
        </w:rPr>
        <w:t xml:space="preserve"> SOEs, duality of status, corporate, public service Obligations</w:t>
      </w:r>
      <w:r w:rsidR="00817A6E" w:rsidRPr="00AD02AE">
        <w:rPr>
          <w:rFonts w:ascii="Book Antiqua" w:hAnsi="Book Antiqua" w:cs="Times New Roman"/>
          <w:sz w:val="16"/>
          <w:szCs w:val="16"/>
        </w:rPr>
        <w:t xml:space="preserve"> </w:t>
      </w:r>
      <w:r w:rsidR="007A174B" w:rsidRPr="00AD02AE">
        <w:rPr>
          <w:rFonts w:ascii="Book Antiqua" w:hAnsi="Book Antiqua" w:cs="Times New Roman"/>
          <w:sz w:val="20"/>
          <w:szCs w:val="20"/>
        </w:rPr>
        <w:tab/>
      </w:r>
    </w:p>
    <w:p w14:paraId="47E90CDC" w14:textId="34DC40E5" w:rsidR="003755E5" w:rsidRDefault="003755E5" w:rsidP="003749CD">
      <w:pPr>
        <w:spacing w:line="240" w:lineRule="auto"/>
        <w:jc w:val="both"/>
        <w:rPr>
          <w:rFonts w:ascii="Book Antiqua" w:hAnsi="Book Antiqua" w:cs="Times New Roman"/>
        </w:rPr>
      </w:pPr>
    </w:p>
    <w:p w14:paraId="00B25DEC" w14:textId="77777777" w:rsidR="00AD02AE" w:rsidRDefault="00AD02AE" w:rsidP="003749CD">
      <w:pPr>
        <w:spacing w:line="240" w:lineRule="auto"/>
        <w:jc w:val="both"/>
        <w:rPr>
          <w:rFonts w:ascii="Book Antiqua" w:hAnsi="Book Antiqua" w:cs="Times New Roman"/>
        </w:rPr>
      </w:pPr>
    </w:p>
    <w:p w14:paraId="6499446B" w14:textId="66E2A7A4" w:rsidR="00AD02AE" w:rsidRDefault="00AD02AE" w:rsidP="003749CD">
      <w:pPr>
        <w:spacing w:line="240" w:lineRule="auto"/>
        <w:jc w:val="both"/>
        <w:rPr>
          <w:rFonts w:ascii="Book Antiqua" w:hAnsi="Book Antiqua" w:cs="Times New Roman"/>
        </w:rPr>
      </w:pPr>
    </w:p>
    <w:p w14:paraId="20463890" w14:textId="77777777" w:rsidR="00AD02AE" w:rsidRPr="00C9654F" w:rsidRDefault="00AD02AE" w:rsidP="003749CD">
      <w:pPr>
        <w:spacing w:line="240" w:lineRule="auto"/>
        <w:jc w:val="both"/>
        <w:rPr>
          <w:rFonts w:ascii="Book Antiqua" w:hAnsi="Book Antiqua" w:cs="Times New Roman"/>
        </w:rPr>
      </w:pPr>
    </w:p>
    <w:p w14:paraId="01CC5721" w14:textId="3E2D47B6" w:rsidR="00F4703B" w:rsidRPr="00AD02AE" w:rsidRDefault="00D72AA7" w:rsidP="003749CD">
      <w:pPr>
        <w:pStyle w:val="DaftarParagraf"/>
        <w:numPr>
          <w:ilvl w:val="0"/>
          <w:numId w:val="1"/>
        </w:numPr>
        <w:spacing w:line="240" w:lineRule="auto"/>
        <w:jc w:val="both"/>
        <w:rPr>
          <w:rFonts w:ascii="Book Antiqua" w:hAnsi="Book Antiqua" w:cs="Times New Roman"/>
          <w:b/>
          <w:bCs/>
          <w:sz w:val="22"/>
          <w:szCs w:val="22"/>
        </w:rPr>
      </w:pPr>
      <w:r w:rsidRPr="00AD02AE">
        <w:rPr>
          <w:rFonts w:ascii="Book Antiqua" w:hAnsi="Book Antiqua" w:cs="Times New Roman"/>
          <w:b/>
          <w:bCs/>
          <w:sz w:val="22"/>
          <w:szCs w:val="22"/>
        </w:rPr>
        <w:lastRenderedPageBreak/>
        <w:t>PENDAHULUAN</w:t>
      </w:r>
    </w:p>
    <w:p w14:paraId="71BFFF9B" w14:textId="45E7A4DE" w:rsidR="00F4703B" w:rsidRPr="00AD02AE" w:rsidRDefault="00F4703B" w:rsidP="003749CD">
      <w:pPr>
        <w:pStyle w:val="DaftarParagraf"/>
        <w:numPr>
          <w:ilvl w:val="1"/>
          <w:numId w:val="1"/>
        </w:numPr>
        <w:spacing w:line="240" w:lineRule="auto"/>
        <w:ind w:left="360"/>
        <w:jc w:val="both"/>
        <w:rPr>
          <w:rFonts w:ascii="Book Antiqua" w:hAnsi="Book Antiqua" w:cs="Times New Roman"/>
          <w:b/>
          <w:bCs/>
          <w:sz w:val="22"/>
          <w:szCs w:val="22"/>
        </w:rPr>
      </w:pPr>
      <w:r w:rsidRPr="00AD02AE">
        <w:rPr>
          <w:rFonts w:ascii="Book Antiqua" w:hAnsi="Book Antiqua" w:cs="Times New Roman"/>
          <w:b/>
          <w:bCs/>
          <w:sz w:val="22"/>
          <w:szCs w:val="22"/>
        </w:rPr>
        <w:t xml:space="preserve"> </w:t>
      </w:r>
      <w:r w:rsidR="00F304D9" w:rsidRPr="00AD02AE">
        <w:rPr>
          <w:rFonts w:ascii="Book Antiqua" w:hAnsi="Book Antiqua" w:cs="Times New Roman"/>
          <w:b/>
          <w:bCs/>
          <w:sz w:val="22"/>
          <w:szCs w:val="22"/>
        </w:rPr>
        <w:tab/>
      </w:r>
      <w:r w:rsidRPr="00AD02AE">
        <w:rPr>
          <w:rFonts w:ascii="Book Antiqua" w:hAnsi="Book Antiqua" w:cs="Times New Roman"/>
          <w:b/>
          <w:bCs/>
          <w:sz w:val="22"/>
          <w:szCs w:val="22"/>
        </w:rPr>
        <w:t>Latar Belakang Masalah</w:t>
      </w:r>
    </w:p>
    <w:p w14:paraId="59F01CA1" w14:textId="0ECA7224" w:rsidR="000453EA" w:rsidRPr="00AD02AE" w:rsidRDefault="000453EA" w:rsidP="003749CD">
      <w:pPr>
        <w:spacing w:line="240" w:lineRule="auto"/>
        <w:ind w:left="90" w:firstLine="630"/>
        <w:jc w:val="both"/>
        <w:rPr>
          <w:rFonts w:ascii="Book Antiqua" w:hAnsi="Book Antiqua" w:cs="Times New Roman"/>
          <w:sz w:val="22"/>
          <w:szCs w:val="22"/>
        </w:rPr>
      </w:pPr>
      <w:r w:rsidRPr="00AD02AE">
        <w:rPr>
          <w:rFonts w:ascii="Book Antiqua" w:hAnsi="Book Antiqua" w:cs="Times New Roman"/>
          <w:sz w:val="22"/>
          <w:szCs w:val="22"/>
        </w:rPr>
        <w:t>Negara sebagaimana diamanatkan dalam pasal 33 ayat (2) Undang-Undang Dasar (UUD) 1945 memiliki kewenangan untuk mengelola berbagai sektor vital perekonomian yang memiliki dampak secara langsung terhadap kepentingan Masyarakat secara luas</w:t>
      </w:r>
      <w:r w:rsidR="00365A65" w:rsidRPr="00AD02AE">
        <w:rPr>
          <w:rFonts w:ascii="Book Antiqua" w:hAnsi="Book Antiqua" w:cs="Times New Roman"/>
          <w:sz w:val="22"/>
          <w:szCs w:val="22"/>
        </w:rPr>
        <w:t>, dengan tujuan utama sebesar-besar kemakmuran rakyat.</w:t>
      </w:r>
      <w:r w:rsidRPr="00AD02AE">
        <w:rPr>
          <w:rFonts w:ascii="Book Antiqua" w:hAnsi="Book Antiqua" w:cs="Times New Roman"/>
          <w:sz w:val="22"/>
          <w:szCs w:val="22"/>
        </w:rPr>
        <w:t xml:space="preserve"> </w:t>
      </w:r>
      <w:r w:rsidR="00365A65" w:rsidRPr="00AD02AE">
        <w:rPr>
          <w:rFonts w:ascii="Book Antiqua" w:hAnsi="Book Antiqua" w:cs="Times New Roman"/>
          <w:sz w:val="22"/>
          <w:szCs w:val="22"/>
        </w:rPr>
        <w:t>H</w:t>
      </w:r>
      <w:r w:rsidRPr="00AD02AE">
        <w:rPr>
          <w:rFonts w:ascii="Book Antiqua" w:hAnsi="Book Antiqua" w:cs="Times New Roman"/>
          <w:sz w:val="22"/>
          <w:szCs w:val="22"/>
        </w:rPr>
        <w:t>al ini berimplikasi dengan penerapan konsep negara hukum kesejahteraan (Welfare-rechstraat).</w:t>
      </w:r>
      <w:r w:rsidR="005A69CD" w:rsidRPr="00AD02AE">
        <w:rPr>
          <w:rStyle w:val="ReferensiCatatanKaki"/>
          <w:rFonts w:ascii="Book Antiqua" w:hAnsi="Book Antiqua" w:cs="Times New Roman"/>
          <w:sz w:val="22"/>
          <w:szCs w:val="22"/>
        </w:rPr>
        <w:footnoteReference w:id="1"/>
      </w:r>
      <w:r w:rsidR="00AD2807" w:rsidRPr="00AD02AE">
        <w:rPr>
          <w:rFonts w:ascii="Book Antiqua" w:hAnsi="Book Antiqua" w:cs="Times New Roman"/>
          <w:sz w:val="22"/>
          <w:szCs w:val="22"/>
        </w:rPr>
        <w:t xml:space="preserve"> </w:t>
      </w:r>
      <w:r w:rsidR="008023BE" w:rsidRPr="00AD02AE">
        <w:rPr>
          <w:rFonts w:ascii="Book Antiqua" w:hAnsi="Book Antiqua" w:cs="Times New Roman"/>
          <w:sz w:val="22"/>
          <w:szCs w:val="22"/>
        </w:rPr>
        <w:t xml:space="preserve">Salah satu instrumen utama dalam mewujudkan tujuan tersebut adalah </w:t>
      </w:r>
      <w:r w:rsidRPr="00AD02AE">
        <w:rPr>
          <w:rFonts w:ascii="Book Antiqua" w:hAnsi="Book Antiqua" w:cs="Times New Roman"/>
          <w:sz w:val="22"/>
          <w:szCs w:val="22"/>
        </w:rPr>
        <w:t>Badan Usaha Milik Negara (BUMN</w:t>
      </w:r>
      <w:r w:rsidR="008023BE" w:rsidRPr="00AD02AE">
        <w:rPr>
          <w:rFonts w:ascii="Book Antiqua" w:hAnsi="Book Antiqua" w:cs="Times New Roman"/>
          <w:sz w:val="22"/>
          <w:szCs w:val="22"/>
        </w:rPr>
        <w:t>), yang</w:t>
      </w:r>
      <w:r w:rsidRPr="00AD02AE">
        <w:rPr>
          <w:rFonts w:ascii="Book Antiqua" w:hAnsi="Book Antiqua" w:cs="Times New Roman"/>
          <w:sz w:val="22"/>
          <w:szCs w:val="22"/>
        </w:rPr>
        <w:t xml:space="preserve"> memiliki peran penting </w:t>
      </w:r>
      <w:r w:rsidR="00C35EB0" w:rsidRPr="00AD02AE">
        <w:rPr>
          <w:rFonts w:ascii="Book Antiqua" w:hAnsi="Book Antiqua" w:cs="Times New Roman"/>
          <w:sz w:val="22"/>
          <w:szCs w:val="22"/>
        </w:rPr>
        <w:t>dalam</w:t>
      </w:r>
      <w:r w:rsidRPr="00AD02AE">
        <w:rPr>
          <w:rFonts w:ascii="Book Antiqua" w:hAnsi="Book Antiqua" w:cs="Times New Roman"/>
          <w:sz w:val="22"/>
          <w:szCs w:val="22"/>
        </w:rPr>
        <w:t xml:space="preserve"> kegiatan ekonomi</w:t>
      </w:r>
      <w:r w:rsidR="00C35EB0" w:rsidRPr="00AD02AE">
        <w:rPr>
          <w:rFonts w:ascii="Book Antiqua" w:hAnsi="Book Antiqua" w:cs="Times New Roman"/>
          <w:sz w:val="22"/>
          <w:szCs w:val="22"/>
        </w:rPr>
        <w:t>,</w:t>
      </w:r>
      <w:r w:rsidR="00BF7A5B" w:rsidRPr="00AD02AE">
        <w:rPr>
          <w:rFonts w:ascii="Book Antiqua" w:hAnsi="Book Antiqua" w:cs="Times New Roman"/>
          <w:sz w:val="22"/>
          <w:szCs w:val="22"/>
        </w:rPr>
        <w:t xml:space="preserve"> </w:t>
      </w:r>
      <w:r w:rsidR="008023BE" w:rsidRPr="00AD02AE">
        <w:rPr>
          <w:rFonts w:ascii="Book Antiqua" w:hAnsi="Book Antiqua" w:cs="Times New Roman"/>
          <w:sz w:val="22"/>
          <w:szCs w:val="22"/>
        </w:rPr>
        <w:t xml:space="preserve">tidak hanya sebagai entitas bisnis namun juga sebagai agen </w:t>
      </w:r>
      <w:r w:rsidR="007A174B" w:rsidRPr="00AD02AE">
        <w:rPr>
          <w:rFonts w:ascii="Book Antiqua" w:hAnsi="Book Antiqua" w:cs="Times New Roman"/>
          <w:sz w:val="22"/>
          <w:szCs w:val="22"/>
        </w:rPr>
        <w:t>p</w:t>
      </w:r>
      <w:r w:rsidR="008023BE" w:rsidRPr="00AD02AE">
        <w:rPr>
          <w:rFonts w:ascii="Book Antiqua" w:hAnsi="Book Antiqua" w:cs="Times New Roman"/>
          <w:sz w:val="22"/>
          <w:szCs w:val="22"/>
        </w:rPr>
        <w:t>embangunan sosial-ekonomi</w:t>
      </w:r>
      <w:r w:rsidRPr="00AD02AE">
        <w:rPr>
          <w:rFonts w:ascii="Book Antiqua" w:hAnsi="Book Antiqua" w:cs="Times New Roman"/>
          <w:sz w:val="22"/>
          <w:szCs w:val="22"/>
        </w:rPr>
        <w:t xml:space="preserve">. </w:t>
      </w:r>
    </w:p>
    <w:p w14:paraId="6B87359C" w14:textId="54330101" w:rsidR="000453EA" w:rsidRPr="00AD02AE" w:rsidRDefault="000453EA" w:rsidP="003749CD">
      <w:pPr>
        <w:spacing w:line="240" w:lineRule="auto"/>
        <w:ind w:left="90" w:firstLine="630"/>
        <w:jc w:val="both"/>
        <w:rPr>
          <w:rFonts w:ascii="Book Antiqua" w:hAnsi="Book Antiqua" w:cs="Times New Roman"/>
          <w:sz w:val="22"/>
          <w:szCs w:val="22"/>
        </w:rPr>
      </w:pPr>
      <w:r w:rsidRPr="00AD02AE">
        <w:rPr>
          <w:rFonts w:ascii="Book Antiqua" w:hAnsi="Book Antiqua" w:cs="Times New Roman"/>
          <w:sz w:val="22"/>
          <w:szCs w:val="22"/>
        </w:rPr>
        <w:t xml:space="preserve">BUMN kerap dipersepsikan secara keliru sebagai lembaga pemerintah, semata-mata karena status </w:t>
      </w:r>
      <w:r w:rsidR="008023BE" w:rsidRPr="00AD02AE">
        <w:rPr>
          <w:rFonts w:ascii="Book Antiqua" w:hAnsi="Book Antiqua" w:cs="Times New Roman"/>
          <w:sz w:val="22"/>
          <w:szCs w:val="22"/>
        </w:rPr>
        <w:t>sumber modalnya yang berasal dari kekayaan negara</w:t>
      </w:r>
      <w:r w:rsidRPr="00AD02AE">
        <w:rPr>
          <w:rFonts w:ascii="Book Antiqua" w:hAnsi="Book Antiqua" w:cs="Times New Roman"/>
          <w:sz w:val="22"/>
          <w:szCs w:val="22"/>
        </w:rPr>
        <w:t xml:space="preserve">. Padahal, secara konseptual BUMN merupakan entitas bisnis yang didirikan oleh negara untuk menjalankan kegiatan usaha dengan </w:t>
      </w:r>
      <w:r w:rsidR="008023BE" w:rsidRPr="00AD02AE">
        <w:rPr>
          <w:rFonts w:ascii="Book Antiqua" w:hAnsi="Book Antiqua" w:cs="Times New Roman"/>
          <w:sz w:val="22"/>
          <w:szCs w:val="22"/>
        </w:rPr>
        <w:t xml:space="preserve">prinsip </w:t>
      </w:r>
      <w:r w:rsidR="008023BE" w:rsidRPr="00AD02AE">
        <w:rPr>
          <w:rFonts w:ascii="Book Antiqua" w:hAnsi="Book Antiqua" w:cs="Times New Roman"/>
          <w:i/>
          <w:iCs/>
          <w:sz w:val="22"/>
          <w:szCs w:val="22"/>
        </w:rPr>
        <w:t>profit-oriented</w:t>
      </w:r>
      <w:r w:rsidR="008023BE" w:rsidRPr="00AD02AE">
        <w:rPr>
          <w:rFonts w:ascii="Book Antiqua" w:hAnsi="Book Antiqua" w:cs="Times New Roman"/>
          <w:sz w:val="22"/>
          <w:szCs w:val="22"/>
        </w:rPr>
        <w:t xml:space="preserve"> dan kontribusi fiskal, di antaranya melalui dividen dan Penerimaan Negara Bukan Pajak (PNBP)</w:t>
      </w:r>
      <w:r w:rsidRPr="00AD02AE">
        <w:rPr>
          <w:rFonts w:ascii="Book Antiqua" w:hAnsi="Book Antiqua" w:cs="Times New Roman"/>
          <w:sz w:val="22"/>
          <w:szCs w:val="22"/>
        </w:rPr>
        <w:t>. Modal BUMN bersumber dari kekayaan negara yang dipisahkan dari Anggaran Pendapatan dan Belanja Negara (APBN), sebagaimana diatur dalam Pasal 4 ayat (1) Undang-Undang Nomor 19 Tahun 2003 tentang BUMN. Pemisahan kekayaan tersebut mengakibatkan dana yang disetor menjadi penyertaan modal negara pada BUMN dan tidak lagi tergolong sebagai keuangan negara dalam arti APBN</w:t>
      </w:r>
      <w:r w:rsidR="00BF7A5B" w:rsidRPr="00AD02AE">
        <w:rPr>
          <w:rFonts w:ascii="Book Antiqua" w:hAnsi="Book Antiqua" w:cs="Times New Roman"/>
          <w:sz w:val="22"/>
          <w:szCs w:val="22"/>
        </w:rPr>
        <w:t>,</w:t>
      </w:r>
      <w:r w:rsidR="00C35EB0" w:rsidRPr="00AD02AE">
        <w:rPr>
          <w:rFonts w:ascii="Book Antiqua" w:hAnsi="Book Antiqua" w:cs="Times New Roman"/>
          <w:sz w:val="22"/>
          <w:szCs w:val="22"/>
        </w:rPr>
        <w:t xml:space="preserve"> maka posisi negara dalam hal ini menjadi pemegang saham</w:t>
      </w:r>
      <w:r w:rsidRPr="00AD02AE">
        <w:rPr>
          <w:rFonts w:ascii="Book Antiqua" w:hAnsi="Book Antiqua" w:cs="Times New Roman"/>
          <w:sz w:val="22"/>
          <w:szCs w:val="22"/>
        </w:rPr>
        <w:t>. Oleh karena</w:t>
      </w:r>
      <w:r w:rsidR="00B574C7" w:rsidRPr="00AD02AE">
        <w:rPr>
          <w:rFonts w:ascii="Book Antiqua" w:hAnsi="Book Antiqua" w:cs="Times New Roman"/>
          <w:sz w:val="22"/>
          <w:szCs w:val="22"/>
        </w:rPr>
        <w:t xml:space="preserve"> </w:t>
      </w:r>
      <w:r w:rsidRPr="00AD02AE">
        <w:rPr>
          <w:rFonts w:ascii="Book Antiqua" w:hAnsi="Book Antiqua" w:cs="Times New Roman"/>
          <w:sz w:val="22"/>
          <w:szCs w:val="22"/>
        </w:rPr>
        <w:t xml:space="preserve">itu, </w:t>
      </w:r>
      <w:r w:rsidR="00D22472" w:rsidRPr="00AD02AE">
        <w:rPr>
          <w:rFonts w:ascii="Book Antiqua" w:hAnsi="Book Antiqua" w:cs="Times New Roman"/>
          <w:sz w:val="22"/>
          <w:szCs w:val="22"/>
        </w:rPr>
        <w:t xml:space="preserve">semestinya </w:t>
      </w:r>
      <w:r w:rsidRPr="00AD02AE">
        <w:rPr>
          <w:rFonts w:ascii="Book Antiqua" w:hAnsi="Book Antiqua" w:cs="Times New Roman"/>
          <w:sz w:val="22"/>
          <w:szCs w:val="22"/>
        </w:rPr>
        <w:t xml:space="preserve">pengelolaannya tunduk pada prinsip </w:t>
      </w:r>
      <w:r w:rsidRPr="00AD02AE">
        <w:rPr>
          <w:rFonts w:ascii="Book Antiqua" w:hAnsi="Book Antiqua" w:cs="Times New Roman"/>
          <w:i/>
          <w:iCs/>
          <w:sz w:val="22"/>
          <w:szCs w:val="22"/>
        </w:rPr>
        <w:t>good corporate governance</w:t>
      </w:r>
      <w:r w:rsidRPr="00AD02AE">
        <w:rPr>
          <w:rFonts w:ascii="Book Antiqua" w:hAnsi="Book Antiqua" w:cs="Times New Roman"/>
          <w:sz w:val="22"/>
          <w:szCs w:val="22"/>
        </w:rPr>
        <w:t xml:space="preserve"> sebagaimana lazimnya perusahaan swasta.</w:t>
      </w:r>
      <w:r w:rsidR="00DB382D" w:rsidRPr="00AD02AE">
        <w:rPr>
          <w:rStyle w:val="ReferensiCatatanKaki"/>
          <w:rFonts w:ascii="Book Antiqua" w:hAnsi="Book Antiqua" w:cs="Times New Roman"/>
          <w:sz w:val="22"/>
          <w:szCs w:val="22"/>
        </w:rPr>
        <w:footnoteReference w:id="2"/>
      </w:r>
    </w:p>
    <w:p w14:paraId="3D209BCE" w14:textId="13A1E1E5" w:rsidR="000453EA" w:rsidRPr="00AD02AE" w:rsidRDefault="008023BE" w:rsidP="003749CD">
      <w:pPr>
        <w:spacing w:line="240" w:lineRule="auto"/>
        <w:ind w:left="90" w:firstLine="630"/>
        <w:jc w:val="both"/>
        <w:rPr>
          <w:rFonts w:ascii="Book Antiqua" w:hAnsi="Book Antiqua" w:cs="Times New Roman"/>
          <w:sz w:val="22"/>
          <w:szCs w:val="22"/>
          <w:lang w:val="da-DK"/>
        </w:rPr>
      </w:pPr>
      <w:r w:rsidRPr="00AD02AE">
        <w:rPr>
          <w:rFonts w:ascii="Book Antiqua" w:hAnsi="Book Antiqua" w:cs="Times New Roman"/>
          <w:sz w:val="22"/>
          <w:szCs w:val="22"/>
        </w:rPr>
        <w:t xml:space="preserve">Di sisi lain, BUMN juga dibebani kewajiban melaksanakan </w:t>
      </w:r>
      <w:r w:rsidRPr="00AD02AE">
        <w:rPr>
          <w:rFonts w:ascii="Book Antiqua" w:hAnsi="Book Antiqua" w:cs="Times New Roman"/>
          <w:i/>
          <w:iCs/>
          <w:sz w:val="22"/>
          <w:szCs w:val="22"/>
        </w:rPr>
        <w:t>public service obligation</w:t>
      </w:r>
      <w:r w:rsidRPr="00AD02AE">
        <w:rPr>
          <w:rFonts w:ascii="Book Antiqua" w:hAnsi="Book Antiqua" w:cs="Times New Roman"/>
          <w:sz w:val="22"/>
          <w:szCs w:val="22"/>
        </w:rPr>
        <w:t xml:space="preserve"> (PSO) dalam bentuk penyediaan barang dan jasa yang strategis, menjaga keterjangkauan harga, serta mendukung kebijakan pemerintah di bidang pembangunan. Kondisi ini melahirkan dualitas kedudukan hukum</w:t>
      </w:r>
      <w:r w:rsidR="007A174B" w:rsidRPr="00AD02AE">
        <w:rPr>
          <w:rFonts w:ascii="Book Antiqua" w:hAnsi="Book Antiqua" w:cs="Times New Roman"/>
          <w:sz w:val="22"/>
          <w:szCs w:val="22"/>
        </w:rPr>
        <w:t>:</w:t>
      </w:r>
      <w:r w:rsidRPr="00AD02AE">
        <w:rPr>
          <w:rFonts w:ascii="Book Antiqua" w:hAnsi="Book Antiqua" w:cs="Times New Roman"/>
          <w:sz w:val="22"/>
          <w:szCs w:val="22"/>
        </w:rPr>
        <w:t xml:space="preserve"> sebagai korporasi yang berorientasi pada laba, BUMN tunduk pada hukum privat (hukum perseroan); namun sebagai instrumen negara dalam penyelenggaraan pelayanan publik, BUMN juga tunduk pada rezim hukum publik (hukum administrasi negara). </w:t>
      </w:r>
      <w:r w:rsidRPr="00AD02AE">
        <w:rPr>
          <w:rFonts w:ascii="Book Antiqua" w:hAnsi="Book Antiqua" w:cs="Times New Roman"/>
          <w:sz w:val="22"/>
          <w:szCs w:val="22"/>
          <w:lang w:val="da-DK"/>
        </w:rPr>
        <w:t>Dualitas inilah yang sering menimbulkan persoalan tumpang tindih, khususnya terkait konflik kepentingan antara orientasi bisnis dan kepentingan sosial.</w:t>
      </w:r>
    </w:p>
    <w:p w14:paraId="27060AAD" w14:textId="7D91FA99" w:rsidR="000453EA" w:rsidRPr="00AD02AE" w:rsidRDefault="000453EA" w:rsidP="003749CD">
      <w:pPr>
        <w:spacing w:line="240" w:lineRule="auto"/>
        <w:ind w:left="90" w:firstLine="63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Kedudukan ganda ini menimbulkan suatu dualitas fungsi: di satu sisi, BUMN dituntut untuk efisien dan menghasilkan keuntungan; di sisi lain, BUMN harus tunduk pada regulasi administrasi negara dan menjalankan peran sosial-ekonomi. </w:t>
      </w:r>
      <w:r w:rsidR="001C7AF7" w:rsidRPr="00AD02AE">
        <w:rPr>
          <w:rFonts w:ascii="Book Antiqua" w:hAnsi="Book Antiqua" w:cs="Times New Roman"/>
          <w:sz w:val="22"/>
          <w:szCs w:val="22"/>
          <w:lang w:val="da-DK"/>
        </w:rPr>
        <w:t>Dualitas tersebut berimplikasi pada ketidakstabilan operasional dan kerentanan BUMN dalam bersaing dengan swasta. Kewajiban PSO yang tidak selalu disertai kompensasi memadai dari negara dapat menurunkan profitabilitas</w:t>
      </w:r>
      <w:r w:rsidR="00FB1D31" w:rsidRPr="00AD02AE">
        <w:rPr>
          <w:rStyle w:val="ReferensiCatatanKaki"/>
          <w:rFonts w:ascii="Book Antiqua" w:hAnsi="Book Antiqua" w:cs="Times New Roman"/>
          <w:sz w:val="22"/>
          <w:szCs w:val="22"/>
          <w:lang w:val="da-DK"/>
        </w:rPr>
        <w:footnoteReference w:id="3"/>
      </w:r>
      <w:r w:rsidR="00595363" w:rsidRPr="00AD02AE">
        <w:rPr>
          <w:rFonts w:ascii="Book Antiqua" w:hAnsi="Book Antiqua" w:cs="Times New Roman"/>
          <w:sz w:val="22"/>
          <w:szCs w:val="22"/>
          <w:lang w:val="da-DK"/>
        </w:rPr>
        <w:t>,</w:t>
      </w:r>
      <w:r w:rsidR="001C7AF7" w:rsidRPr="00AD02AE">
        <w:rPr>
          <w:rFonts w:ascii="Book Antiqua" w:hAnsi="Book Antiqua" w:cs="Times New Roman"/>
          <w:sz w:val="22"/>
          <w:szCs w:val="22"/>
          <w:lang w:val="da-DK"/>
        </w:rPr>
        <w:t xml:space="preserve"> sementara ketergantungan </w:t>
      </w:r>
      <w:r w:rsidR="001C7AF7" w:rsidRPr="00AD02AE">
        <w:rPr>
          <w:rFonts w:ascii="Book Antiqua" w:hAnsi="Book Antiqua" w:cs="Times New Roman"/>
          <w:sz w:val="22"/>
          <w:szCs w:val="22"/>
          <w:lang w:val="da-DK"/>
        </w:rPr>
        <w:lastRenderedPageBreak/>
        <w:t>pada Penyertaan Modal Negara (PMN) menimbulkan kesan bahwa BUMN tidak sepenuhnya mandiri dan justru berpotensi membebani APBN. Problematika ini</w:t>
      </w:r>
      <w:r w:rsidR="005F4750" w:rsidRPr="00AD02AE">
        <w:rPr>
          <w:rFonts w:ascii="Book Antiqua" w:hAnsi="Book Antiqua" w:cs="Times New Roman"/>
          <w:sz w:val="22"/>
          <w:szCs w:val="22"/>
          <w:lang w:val="da-DK"/>
        </w:rPr>
        <w:t xml:space="preserve"> </w:t>
      </w:r>
      <w:r w:rsidR="001C7AF7" w:rsidRPr="00AD02AE">
        <w:rPr>
          <w:rFonts w:ascii="Book Antiqua" w:hAnsi="Book Antiqua" w:cs="Times New Roman"/>
          <w:sz w:val="22"/>
          <w:szCs w:val="22"/>
          <w:lang w:val="da-DK"/>
        </w:rPr>
        <w:t>menuntut analisis mendalam mengenai sejauh mana BUMN mampu menjaga kemandiriannya sebagai korporasi, sembari tetap mengemban fungsi pelayanan publik.</w:t>
      </w:r>
    </w:p>
    <w:p w14:paraId="37B7120E" w14:textId="613EF192" w:rsidR="001C7AF7" w:rsidRPr="00AD02AE" w:rsidRDefault="001C7AF7" w:rsidP="003749CD">
      <w:pPr>
        <w:spacing w:line="240" w:lineRule="auto"/>
        <w:ind w:left="90" w:firstLine="630"/>
        <w:jc w:val="both"/>
        <w:rPr>
          <w:rFonts w:ascii="Book Antiqua" w:hAnsi="Book Antiqua" w:cs="Times New Roman"/>
          <w:sz w:val="22"/>
          <w:szCs w:val="22"/>
          <w:lang w:val="da-DK"/>
        </w:rPr>
      </w:pPr>
      <w:r w:rsidRPr="00AD02AE">
        <w:rPr>
          <w:rFonts w:ascii="Book Antiqua" w:hAnsi="Book Antiqua" w:cs="Times New Roman"/>
          <w:sz w:val="22"/>
          <w:szCs w:val="22"/>
          <w:lang w:val="da-DK"/>
        </w:rPr>
        <w:t>Pembentukan Undang-Undang Nomor 1 Tahun 2025 tentang BUMN</w:t>
      </w:r>
      <w:r w:rsidR="003C1022" w:rsidRPr="00AD02AE">
        <w:rPr>
          <w:rFonts w:ascii="Book Antiqua" w:hAnsi="Book Antiqua" w:cs="Times New Roman"/>
          <w:sz w:val="22"/>
          <w:szCs w:val="22"/>
          <w:lang w:val="da-DK"/>
        </w:rPr>
        <w:t xml:space="preserve"> sebagaimana telah diubah dengan Undang-Undang Nomor 16 Tahun 2025</w:t>
      </w:r>
      <w:r w:rsidRPr="00AD02AE">
        <w:rPr>
          <w:rFonts w:ascii="Book Antiqua" w:hAnsi="Book Antiqua" w:cs="Times New Roman"/>
          <w:sz w:val="22"/>
          <w:szCs w:val="22"/>
          <w:lang w:val="da-DK"/>
        </w:rPr>
        <w:t xml:space="preserve"> menghadirkan babak baru dalam kerangka hukum BUMN di Indonesia. Regulasi terbaru ini memperluas ruang kemandirian bisnis BUMN, sekaligus mempertegas kewajiban pelayanan publik dalam bentuk PSO. Namun</w:t>
      </w:r>
      <w:r w:rsidR="009A06C4" w:rsidRPr="00AD02AE">
        <w:rPr>
          <w:rFonts w:ascii="Book Antiqua" w:hAnsi="Book Antiqua" w:cs="Times New Roman"/>
          <w:sz w:val="22"/>
          <w:szCs w:val="22"/>
          <w:lang w:val="da-DK"/>
        </w:rPr>
        <w:t>,</w:t>
      </w:r>
      <w:r w:rsidRPr="00AD02AE">
        <w:rPr>
          <w:rFonts w:ascii="Book Antiqua" w:hAnsi="Book Antiqua" w:cs="Times New Roman"/>
          <w:sz w:val="22"/>
          <w:szCs w:val="22"/>
          <w:lang w:val="da-DK"/>
        </w:rPr>
        <w:t xml:space="preserve"> </w:t>
      </w:r>
      <w:r w:rsidR="009A06C4" w:rsidRPr="00AD02AE">
        <w:rPr>
          <w:rFonts w:ascii="Book Antiqua" w:hAnsi="Book Antiqua" w:cs="Times New Roman"/>
          <w:sz w:val="22"/>
          <w:szCs w:val="22"/>
          <w:lang w:val="da-DK"/>
        </w:rPr>
        <w:t>terdapat pertanyaan baru mengenai bagaimana</w:t>
      </w:r>
      <w:r w:rsidRPr="00AD02AE">
        <w:rPr>
          <w:rFonts w:ascii="Book Antiqua" w:hAnsi="Book Antiqua" w:cs="Times New Roman"/>
          <w:sz w:val="22"/>
          <w:szCs w:val="22"/>
          <w:lang w:val="da-DK"/>
        </w:rPr>
        <w:t xml:space="preserve"> penguatan kemandirian bisnis BUMN benar-benar </w:t>
      </w:r>
      <w:r w:rsidR="0056297F" w:rsidRPr="00AD02AE">
        <w:rPr>
          <w:rFonts w:ascii="Book Antiqua" w:hAnsi="Book Antiqua" w:cs="Times New Roman"/>
          <w:sz w:val="22"/>
          <w:szCs w:val="22"/>
          <w:lang w:val="da-DK"/>
        </w:rPr>
        <w:t>melepaskan BUMN dari intervensi negara</w:t>
      </w:r>
      <w:r w:rsidRPr="00AD02AE">
        <w:rPr>
          <w:rFonts w:ascii="Book Antiqua" w:hAnsi="Book Antiqua" w:cs="Times New Roman"/>
          <w:sz w:val="22"/>
          <w:szCs w:val="22"/>
          <w:lang w:val="da-DK"/>
        </w:rPr>
        <w:t xml:space="preserve">, atau justru </w:t>
      </w:r>
      <w:r w:rsidR="0056297F" w:rsidRPr="00AD02AE">
        <w:rPr>
          <w:rFonts w:ascii="Book Antiqua" w:hAnsi="Book Antiqua" w:cs="Times New Roman"/>
          <w:sz w:val="22"/>
          <w:szCs w:val="22"/>
          <w:lang w:val="da-DK"/>
        </w:rPr>
        <w:t>menimbulkan</w:t>
      </w:r>
      <w:r w:rsidRPr="00AD02AE">
        <w:rPr>
          <w:rFonts w:ascii="Book Antiqua" w:hAnsi="Book Antiqua" w:cs="Times New Roman"/>
          <w:sz w:val="22"/>
          <w:szCs w:val="22"/>
          <w:lang w:val="da-DK"/>
        </w:rPr>
        <w:t xml:space="preserve"> dilema kewajiban ganda yang semakin kompleks</w:t>
      </w:r>
      <w:r w:rsidR="009A06C4" w:rsidRPr="00AD02AE">
        <w:rPr>
          <w:rFonts w:ascii="Book Antiqua" w:hAnsi="Book Antiqua" w:cs="Times New Roman"/>
          <w:sz w:val="22"/>
          <w:szCs w:val="22"/>
          <w:lang w:val="da-DK"/>
        </w:rPr>
        <w:t>.</w:t>
      </w:r>
      <w:r w:rsidRPr="00AD02AE">
        <w:rPr>
          <w:rFonts w:ascii="Book Antiqua" w:hAnsi="Book Antiqua" w:cs="Times New Roman"/>
          <w:sz w:val="22"/>
          <w:szCs w:val="22"/>
          <w:lang w:val="da-DK"/>
        </w:rPr>
        <w:t xml:space="preserve"> Di samping itu, keberadaan hak monopoli tertentu dalam pelaksanaan PSO berpotensi menimbulkan distorsi pasar yang kontraproduktif terhadap efisiensi dan daya saing.</w:t>
      </w:r>
    </w:p>
    <w:p w14:paraId="68651D8E" w14:textId="1BA6B0FF" w:rsidR="000453EA" w:rsidRPr="00AD02AE" w:rsidRDefault="000453EA" w:rsidP="003749CD">
      <w:pPr>
        <w:spacing w:after="0" w:line="240" w:lineRule="auto"/>
        <w:ind w:left="90" w:firstLine="63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Kajian mengenai BUMN tidak dapat dilepaskan dari pendekatan interdisipliner. Analisis atas dualitas kedudukannya harus melibatkan perspektif hukum korporasi yang menekankan prinsip efisiensi dan profitabilitas, sekaligus hukum administrasi negara yang mengatur fungsi pelayanan publik, regulasi, dan pengawasan. </w:t>
      </w:r>
      <w:r w:rsidR="001C7AF7" w:rsidRPr="00AD02AE">
        <w:rPr>
          <w:rFonts w:ascii="Book Antiqua" w:hAnsi="Book Antiqua" w:cs="Times New Roman"/>
          <w:sz w:val="22"/>
          <w:szCs w:val="22"/>
          <w:lang w:val="da-DK"/>
        </w:rPr>
        <w:t xml:space="preserve">Analisis tersebut penting untuk menilai sejauh mana regulasi baru mampu mengoptimalkan peran BUMN sebagai entitas bisnis yang mandiri, tanpa mengabaikan fungsi strategisnya dalam penyediaan layanan publik. </w:t>
      </w:r>
    </w:p>
    <w:p w14:paraId="775E9C84" w14:textId="77777777" w:rsidR="00F304D9" w:rsidRPr="00AD02AE" w:rsidRDefault="00F304D9" w:rsidP="003749CD">
      <w:pPr>
        <w:spacing w:after="0" w:line="240" w:lineRule="auto"/>
        <w:ind w:left="90" w:firstLine="360"/>
        <w:jc w:val="both"/>
        <w:rPr>
          <w:rFonts w:ascii="Book Antiqua" w:hAnsi="Book Antiqua" w:cs="Times New Roman"/>
          <w:sz w:val="22"/>
          <w:szCs w:val="22"/>
          <w:lang w:val="da-DK"/>
        </w:rPr>
      </w:pPr>
    </w:p>
    <w:p w14:paraId="136D25C9" w14:textId="1E77B7E5" w:rsidR="00F4703B" w:rsidRPr="00AD02AE" w:rsidRDefault="00F4703B" w:rsidP="003749CD">
      <w:pPr>
        <w:pStyle w:val="DaftarParagraf"/>
        <w:numPr>
          <w:ilvl w:val="1"/>
          <w:numId w:val="1"/>
        </w:numPr>
        <w:spacing w:line="240" w:lineRule="auto"/>
        <w:ind w:left="450"/>
        <w:jc w:val="both"/>
        <w:rPr>
          <w:rFonts w:ascii="Book Antiqua" w:hAnsi="Book Antiqua" w:cs="Times New Roman"/>
          <w:b/>
          <w:bCs/>
          <w:sz w:val="22"/>
          <w:szCs w:val="22"/>
        </w:rPr>
      </w:pPr>
      <w:r w:rsidRPr="00AD02AE">
        <w:rPr>
          <w:rFonts w:ascii="Book Antiqua" w:hAnsi="Book Antiqua" w:cs="Times New Roman"/>
          <w:b/>
          <w:bCs/>
          <w:sz w:val="22"/>
          <w:szCs w:val="22"/>
          <w:lang w:val="da-DK"/>
        </w:rPr>
        <w:t xml:space="preserve"> </w:t>
      </w:r>
      <w:r w:rsidR="00F304D9" w:rsidRPr="00AD02AE">
        <w:rPr>
          <w:rFonts w:ascii="Book Antiqua" w:hAnsi="Book Antiqua" w:cs="Times New Roman"/>
          <w:b/>
          <w:bCs/>
          <w:sz w:val="22"/>
          <w:szCs w:val="22"/>
          <w:lang w:val="da-DK"/>
        </w:rPr>
        <w:tab/>
      </w:r>
      <w:r w:rsidRPr="00AD02AE">
        <w:rPr>
          <w:rFonts w:ascii="Book Antiqua" w:hAnsi="Book Antiqua" w:cs="Times New Roman"/>
          <w:b/>
          <w:bCs/>
          <w:sz w:val="22"/>
          <w:szCs w:val="22"/>
        </w:rPr>
        <w:t>Rumusan Masalah</w:t>
      </w:r>
    </w:p>
    <w:p w14:paraId="44311817" w14:textId="5D11489A" w:rsidR="000453EA" w:rsidRPr="00AD02AE" w:rsidRDefault="000453EA" w:rsidP="003749CD">
      <w:pPr>
        <w:spacing w:line="240" w:lineRule="auto"/>
        <w:ind w:left="90" w:firstLine="630"/>
        <w:jc w:val="both"/>
        <w:rPr>
          <w:rFonts w:ascii="Book Antiqua" w:hAnsi="Book Antiqua" w:cs="Times New Roman"/>
          <w:sz w:val="22"/>
          <w:szCs w:val="22"/>
        </w:rPr>
      </w:pPr>
      <w:r w:rsidRPr="00AD02AE">
        <w:rPr>
          <w:rFonts w:ascii="Book Antiqua" w:hAnsi="Book Antiqua" w:cs="Times New Roman"/>
          <w:sz w:val="22"/>
          <w:szCs w:val="22"/>
        </w:rPr>
        <w:t>Berdasarkan uraian di atas, terdapat 2 (dua) rumusan permasalahan yang dapat diidentifikasi dalam artikel ini, yakni:</w:t>
      </w:r>
    </w:p>
    <w:p w14:paraId="5C55ACB4" w14:textId="6E6337C7" w:rsidR="000453EA" w:rsidRPr="00AD02AE" w:rsidRDefault="000453EA" w:rsidP="003749CD">
      <w:pPr>
        <w:pStyle w:val="DaftarParagraf"/>
        <w:numPr>
          <w:ilvl w:val="0"/>
          <w:numId w:val="3"/>
        </w:numPr>
        <w:spacing w:line="240" w:lineRule="auto"/>
        <w:ind w:left="450"/>
        <w:jc w:val="both"/>
        <w:rPr>
          <w:rFonts w:ascii="Book Antiqua" w:hAnsi="Book Antiqua" w:cs="Times New Roman"/>
          <w:sz w:val="22"/>
          <w:szCs w:val="22"/>
        </w:rPr>
      </w:pPr>
      <w:r w:rsidRPr="00AD02AE">
        <w:rPr>
          <w:rFonts w:ascii="Book Antiqua" w:hAnsi="Book Antiqua" w:cs="Times New Roman"/>
          <w:sz w:val="22"/>
          <w:szCs w:val="22"/>
        </w:rPr>
        <w:t>Bagaimana pengaruh dualitas kedudukan BUMN sebagai subjek hukum privat dan publik terhadap kemandiriannya sebagai korporasi dalam menjalankan fungsi bisnis dan pelayanan publik?</w:t>
      </w:r>
    </w:p>
    <w:p w14:paraId="48DCD893" w14:textId="00E5DFCC" w:rsidR="000453EA" w:rsidRPr="00AD02AE" w:rsidRDefault="000453EA" w:rsidP="003749CD">
      <w:pPr>
        <w:pStyle w:val="DaftarParagraf"/>
        <w:numPr>
          <w:ilvl w:val="0"/>
          <w:numId w:val="3"/>
        </w:numPr>
        <w:spacing w:after="0" w:line="240" w:lineRule="auto"/>
        <w:ind w:left="450"/>
        <w:jc w:val="both"/>
        <w:rPr>
          <w:rFonts w:ascii="Book Antiqua" w:hAnsi="Book Antiqua" w:cs="Times New Roman"/>
          <w:sz w:val="22"/>
          <w:szCs w:val="22"/>
        </w:rPr>
      </w:pPr>
      <w:r w:rsidRPr="00AD02AE">
        <w:rPr>
          <w:rFonts w:ascii="Book Antiqua" w:hAnsi="Book Antiqua" w:cs="Times New Roman"/>
          <w:sz w:val="22"/>
          <w:szCs w:val="22"/>
        </w:rPr>
        <w:t xml:space="preserve">Bagaimana </w:t>
      </w:r>
      <w:r w:rsidR="00595363" w:rsidRPr="00AD02AE">
        <w:rPr>
          <w:rFonts w:ascii="Book Antiqua" w:hAnsi="Book Antiqua" w:cs="Times New Roman"/>
          <w:sz w:val="22"/>
          <w:szCs w:val="22"/>
        </w:rPr>
        <w:t>s</w:t>
      </w:r>
      <w:r w:rsidRPr="00AD02AE">
        <w:rPr>
          <w:rFonts w:ascii="Book Antiqua" w:hAnsi="Book Antiqua" w:cs="Times New Roman"/>
          <w:sz w:val="22"/>
          <w:szCs w:val="22"/>
        </w:rPr>
        <w:t xml:space="preserve">olusi untuk mengatasi konflik kepentingan dalam dualitas BUMN? </w:t>
      </w:r>
    </w:p>
    <w:p w14:paraId="0D186DFD" w14:textId="77777777" w:rsidR="000453EA" w:rsidRPr="00AD02AE" w:rsidRDefault="000453EA" w:rsidP="003749CD">
      <w:pPr>
        <w:pStyle w:val="DaftarParagraf"/>
        <w:spacing w:after="0" w:line="240" w:lineRule="auto"/>
        <w:ind w:left="90"/>
        <w:jc w:val="both"/>
        <w:rPr>
          <w:rFonts w:ascii="Book Antiqua" w:hAnsi="Book Antiqua" w:cs="Times New Roman"/>
          <w:sz w:val="22"/>
          <w:szCs w:val="22"/>
        </w:rPr>
      </w:pPr>
    </w:p>
    <w:p w14:paraId="423C94DF" w14:textId="23ECCAF3" w:rsidR="00F4703B" w:rsidRPr="00AD02AE" w:rsidRDefault="00F4703B" w:rsidP="003749CD">
      <w:pPr>
        <w:pStyle w:val="DaftarParagraf"/>
        <w:numPr>
          <w:ilvl w:val="1"/>
          <w:numId w:val="1"/>
        </w:numPr>
        <w:spacing w:line="240" w:lineRule="auto"/>
        <w:ind w:left="450"/>
        <w:jc w:val="both"/>
        <w:rPr>
          <w:rFonts w:ascii="Book Antiqua" w:hAnsi="Book Antiqua" w:cs="Times New Roman"/>
          <w:b/>
          <w:bCs/>
          <w:sz w:val="22"/>
          <w:szCs w:val="22"/>
        </w:rPr>
      </w:pPr>
      <w:r w:rsidRPr="00AD02AE">
        <w:rPr>
          <w:rFonts w:ascii="Book Antiqua" w:hAnsi="Book Antiqua" w:cs="Times New Roman"/>
          <w:b/>
          <w:bCs/>
          <w:sz w:val="22"/>
          <w:szCs w:val="22"/>
        </w:rPr>
        <w:t xml:space="preserve"> </w:t>
      </w:r>
      <w:r w:rsidR="00F304D9" w:rsidRPr="00AD02AE">
        <w:rPr>
          <w:rFonts w:ascii="Book Antiqua" w:hAnsi="Book Antiqua" w:cs="Times New Roman"/>
          <w:b/>
          <w:bCs/>
          <w:sz w:val="22"/>
          <w:szCs w:val="22"/>
        </w:rPr>
        <w:tab/>
      </w:r>
      <w:r w:rsidRPr="00AD02AE">
        <w:rPr>
          <w:rFonts w:ascii="Book Antiqua" w:hAnsi="Book Antiqua" w:cs="Times New Roman"/>
          <w:b/>
          <w:bCs/>
          <w:sz w:val="22"/>
          <w:szCs w:val="22"/>
        </w:rPr>
        <w:t>Tujuan Penulisan</w:t>
      </w:r>
    </w:p>
    <w:p w14:paraId="26E34C97" w14:textId="7A1FA45E" w:rsidR="00F304D9" w:rsidRPr="00AD02AE" w:rsidRDefault="00F304D9" w:rsidP="003749CD">
      <w:pPr>
        <w:pStyle w:val="DaftarParagraf"/>
        <w:spacing w:line="240" w:lineRule="auto"/>
        <w:ind w:left="90" w:firstLine="630"/>
        <w:jc w:val="both"/>
        <w:rPr>
          <w:rFonts w:ascii="Book Antiqua" w:hAnsi="Book Antiqua" w:cs="Times New Roman"/>
          <w:sz w:val="22"/>
          <w:szCs w:val="22"/>
        </w:rPr>
      </w:pPr>
      <w:r w:rsidRPr="00AD02AE">
        <w:rPr>
          <w:rFonts w:ascii="Book Antiqua" w:hAnsi="Book Antiqua" w:cs="Times New Roman"/>
          <w:sz w:val="22"/>
          <w:szCs w:val="22"/>
        </w:rPr>
        <w:t>Tujuan Penelitian ini adalah guna mengkaji implikasi dualitas kedudukan hukum BUMN terhadap kemandirian korporasi dan fungsi pelayanan publik melalui pendekatan interdisipliner hukum privat dan hukum administrasi negara dan juga mengidentifikasi substansi regulasi BUMN sebelum dan sesudah munculnya peraturan perundang-undangan terbaru yakni undang-undang nomor 1 tahun 2025 tentang BUMN.</w:t>
      </w:r>
    </w:p>
    <w:p w14:paraId="3BC51B4A" w14:textId="77777777" w:rsidR="00AD02AE" w:rsidRPr="00AD02AE" w:rsidRDefault="00AD02AE" w:rsidP="003749CD">
      <w:pPr>
        <w:pStyle w:val="DaftarParagraf"/>
        <w:spacing w:line="240" w:lineRule="auto"/>
        <w:ind w:left="90"/>
        <w:jc w:val="both"/>
        <w:rPr>
          <w:rFonts w:ascii="Book Antiqua" w:hAnsi="Book Antiqua" w:cs="Times New Roman"/>
          <w:sz w:val="22"/>
          <w:szCs w:val="22"/>
        </w:rPr>
      </w:pPr>
    </w:p>
    <w:p w14:paraId="5320A22A" w14:textId="4CE9C035" w:rsidR="00D72AA7" w:rsidRPr="00AD02AE" w:rsidRDefault="00D72AA7" w:rsidP="003749CD">
      <w:pPr>
        <w:pStyle w:val="DaftarParagraf"/>
        <w:numPr>
          <w:ilvl w:val="0"/>
          <w:numId w:val="1"/>
        </w:numPr>
        <w:spacing w:line="240" w:lineRule="auto"/>
        <w:ind w:left="810"/>
        <w:jc w:val="both"/>
        <w:rPr>
          <w:rFonts w:ascii="Book Antiqua" w:hAnsi="Book Antiqua" w:cs="Times New Roman"/>
          <w:b/>
          <w:bCs/>
          <w:sz w:val="22"/>
          <w:szCs w:val="22"/>
        </w:rPr>
      </w:pPr>
      <w:r w:rsidRPr="00AD02AE">
        <w:rPr>
          <w:rFonts w:ascii="Book Antiqua" w:hAnsi="Book Antiqua" w:cs="Times New Roman"/>
          <w:b/>
          <w:bCs/>
          <w:sz w:val="22"/>
          <w:szCs w:val="22"/>
        </w:rPr>
        <w:t>METODE PENELITIAN</w:t>
      </w:r>
    </w:p>
    <w:p w14:paraId="3C440A21" w14:textId="3A3DF5AF" w:rsidR="00D72AA7" w:rsidRPr="00AD02AE" w:rsidRDefault="003C2E2B" w:rsidP="003749CD">
      <w:pPr>
        <w:spacing w:line="240" w:lineRule="auto"/>
        <w:ind w:left="90" w:firstLine="630"/>
        <w:jc w:val="both"/>
        <w:rPr>
          <w:rFonts w:ascii="Book Antiqua" w:hAnsi="Book Antiqua" w:cs="Times New Roman"/>
          <w:b/>
          <w:bCs/>
          <w:sz w:val="22"/>
          <w:szCs w:val="22"/>
          <w:lang w:val="da-DK"/>
        </w:rPr>
      </w:pPr>
      <w:r w:rsidRPr="00AD02AE">
        <w:rPr>
          <w:rFonts w:ascii="Book Antiqua" w:hAnsi="Book Antiqua" w:cs="Times New Roman"/>
          <w:sz w:val="22"/>
          <w:szCs w:val="22"/>
          <w:lang w:val="da-DK"/>
        </w:rPr>
        <w:t>Penelitian ini menggunakan metod</w:t>
      </w:r>
      <w:r w:rsidR="00AF1906" w:rsidRPr="00AD02AE">
        <w:rPr>
          <w:rFonts w:ascii="Book Antiqua" w:hAnsi="Book Antiqua" w:cs="Times New Roman"/>
          <w:sz w:val="22"/>
          <w:szCs w:val="22"/>
          <w:lang w:val="da-DK"/>
        </w:rPr>
        <w:t>e</w:t>
      </w:r>
      <w:r w:rsidRPr="00AD02AE">
        <w:rPr>
          <w:rFonts w:ascii="Book Antiqua" w:hAnsi="Book Antiqua" w:cs="Times New Roman"/>
          <w:sz w:val="22"/>
          <w:szCs w:val="22"/>
          <w:lang w:val="da-DK"/>
        </w:rPr>
        <w:t xml:space="preserve"> penelitian yuridis normatif dengan fo</w:t>
      </w:r>
      <w:r w:rsidR="00AD1BA9" w:rsidRPr="00AD02AE">
        <w:rPr>
          <w:rFonts w:ascii="Book Antiqua" w:hAnsi="Book Antiqua" w:cs="Times New Roman"/>
          <w:sz w:val="22"/>
          <w:szCs w:val="22"/>
          <w:lang w:val="da-DK"/>
        </w:rPr>
        <w:t>k</w:t>
      </w:r>
      <w:r w:rsidRPr="00AD02AE">
        <w:rPr>
          <w:rFonts w:ascii="Book Antiqua" w:hAnsi="Book Antiqua" w:cs="Times New Roman"/>
          <w:sz w:val="22"/>
          <w:szCs w:val="22"/>
          <w:lang w:val="da-DK"/>
        </w:rPr>
        <w:t xml:space="preserve">us analisis mengacu kepada regulasi-regulasi yang mengatur </w:t>
      </w:r>
      <w:r w:rsidR="003C1022" w:rsidRPr="00AD02AE">
        <w:rPr>
          <w:rFonts w:ascii="Book Antiqua" w:hAnsi="Book Antiqua" w:cs="Times New Roman"/>
          <w:sz w:val="22"/>
          <w:szCs w:val="22"/>
          <w:lang w:val="da-DK"/>
        </w:rPr>
        <w:t>BUMN</w:t>
      </w:r>
      <w:r w:rsidRPr="00AD02AE">
        <w:rPr>
          <w:rFonts w:ascii="Book Antiqua" w:hAnsi="Book Antiqua" w:cs="Times New Roman"/>
          <w:sz w:val="22"/>
          <w:szCs w:val="22"/>
          <w:lang w:val="da-DK"/>
        </w:rPr>
        <w:t xml:space="preserve">. Data-data yang dikaji merupakan dokumen-dokumen atau literatur kepustakaan, yang berupa bahan </w:t>
      </w:r>
      <w:r w:rsidRPr="00AD02AE">
        <w:rPr>
          <w:rFonts w:ascii="Book Antiqua" w:hAnsi="Book Antiqua" w:cs="Times New Roman"/>
          <w:sz w:val="22"/>
          <w:szCs w:val="22"/>
          <w:lang w:val="da-DK"/>
        </w:rPr>
        <w:lastRenderedPageBreak/>
        <w:t xml:space="preserve">hukum primer meliputi peraturan perundang-undangan, seperti </w:t>
      </w:r>
      <w:bookmarkStart w:id="0" w:name="_Hlk210002215"/>
      <w:r w:rsidR="009C0D4E" w:rsidRPr="00AD02AE">
        <w:rPr>
          <w:rFonts w:ascii="Book Antiqua" w:hAnsi="Book Antiqua" w:cs="Times New Roman"/>
          <w:sz w:val="22"/>
          <w:szCs w:val="22"/>
          <w:lang w:val="da-DK"/>
        </w:rPr>
        <w:t>Undang-Undang Nomor 1 Tahun 2025 tentang BUMN, Undang-Undang Nomor 40 Tahun 2007 tentang Perseroan Terbatas, Undang-Undang Nomor 17 Tahun 2003 tentang Keuangan Negara, serta Undang-Undang Nomor 15 Tahun 2006 tentang Badan Pemeriksa Keuangan</w:t>
      </w:r>
      <w:bookmarkEnd w:id="0"/>
      <w:r w:rsidRPr="00AD02AE">
        <w:rPr>
          <w:rFonts w:ascii="Book Antiqua" w:hAnsi="Book Antiqua" w:cs="Times New Roman"/>
          <w:sz w:val="22"/>
          <w:szCs w:val="22"/>
          <w:lang w:val="da-DK"/>
        </w:rPr>
        <w:t>. adapun sumber hukum sekunder berupa artikel ilmiah, jurnal akademik, maupun literatur-literatur relevan lainnya.</w:t>
      </w:r>
      <w:r w:rsidR="00DB382D" w:rsidRPr="00AD02AE">
        <w:rPr>
          <w:rStyle w:val="ReferensiCatatanKaki"/>
          <w:rFonts w:ascii="Book Antiqua" w:hAnsi="Book Antiqua" w:cs="Times New Roman"/>
          <w:sz w:val="22"/>
          <w:szCs w:val="22"/>
          <w:lang w:val="da-DK"/>
        </w:rPr>
        <w:footnoteReference w:id="4"/>
      </w:r>
      <w:r w:rsidR="009C0D4E" w:rsidRPr="00AD02AE">
        <w:rPr>
          <w:rFonts w:ascii="Book Antiqua" w:hAnsi="Book Antiqua" w:cs="Times New Roman"/>
          <w:sz w:val="22"/>
          <w:szCs w:val="22"/>
          <w:lang w:val="da-DK"/>
        </w:rPr>
        <w:t xml:space="preserve"> Pendekatan yang digunakan tidak hanya menitikberatkan pada aspek perundang-undangan (</w:t>
      </w:r>
      <w:r w:rsidR="009C0D4E" w:rsidRPr="00AD02AE">
        <w:rPr>
          <w:rFonts w:ascii="Book Antiqua" w:hAnsi="Book Antiqua" w:cs="Times New Roman"/>
          <w:i/>
          <w:iCs/>
          <w:sz w:val="22"/>
          <w:szCs w:val="22"/>
          <w:lang w:val="da-DK"/>
        </w:rPr>
        <w:t>statute approach</w:t>
      </w:r>
      <w:r w:rsidR="009C0D4E" w:rsidRPr="00AD02AE">
        <w:rPr>
          <w:rFonts w:ascii="Book Antiqua" w:hAnsi="Book Antiqua" w:cs="Times New Roman"/>
          <w:sz w:val="22"/>
          <w:szCs w:val="22"/>
          <w:lang w:val="da-DK"/>
        </w:rPr>
        <w:t xml:space="preserve">), tetapi juga pada pendekatan konseptual dengan mengkaji teori-teori relevan, seperti </w:t>
      </w:r>
      <w:r w:rsidR="009C0D4E" w:rsidRPr="00AD02AE">
        <w:rPr>
          <w:rFonts w:ascii="Book Antiqua" w:hAnsi="Book Antiqua" w:cs="Times New Roman"/>
          <w:i/>
          <w:iCs/>
          <w:sz w:val="22"/>
          <w:szCs w:val="22"/>
          <w:lang w:val="da-DK"/>
        </w:rPr>
        <w:t>business judgment rule</w:t>
      </w:r>
      <w:r w:rsidR="009C0D4E" w:rsidRPr="00AD02AE">
        <w:rPr>
          <w:rFonts w:ascii="Book Antiqua" w:hAnsi="Book Antiqua" w:cs="Times New Roman"/>
          <w:sz w:val="22"/>
          <w:szCs w:val="22"/>
          <w:lang w:val="da-DK"/>
        </w:rPr>
        <w:t xml:space="preserve"> dan </w:t>
      </w:r>
      <w:r w:rsidR="009C0D4E" w:rsidRPr="00AD02AE">
        <w:rPr>
          <w:rFonts w:ascii="Book Antiqua" w:hAnsi="Book Antiqua" w:cs="Times New Roman"/>
          <w:i/>
          <w:iCs/>
          <w:sz w:val="22"/>
          <w:szCs w:val="22"/>
          <w:lang w:val="da-DK"/>
        </w:rPr>
        <w:t>good corporate governance</w:t>
      </w:r>
      <w:r w:rsidR="003C1022" w:rsidRPr="00AD02AE">
        <w:rPr>
          <w:rFonts w:ascii="Book Antiqua" w:hAnsi="Book Antiqua" w:cs="Times New Roman"/>
          <w:i/>
          <w:iCs/>
          <w:sz w:val="22"/>
          <w:szCs w:val="22"/>
          <w:lang w:val="da-DK"/>
        </w:rPr>
        <w:t xml:space="preserve"> (GCG)</w:t>
      </w:r>
      <w:r w:rsidR="009C0D4E" w:rsidRPr="00AD02AE">
        <w:rPr>
          <w:rFonts w:ascii="Book Antiqua" w:hAnsi="Book Antiqua" w:cs="Times New Roman"/>
          <w:sz w:val="22"/>
          <w:szCs w:val="22"/>
          <w:lang w:val="da-DK"/>
        </w:rPr>
        <w:t xml:space="preserve"> dalam perspektif hukum korporasi, serta </w:t>
      </w:r>
      <w:r w:rsidR="009C0D4E" w:rsidRPr="00AD02AE">
        <w:rPr>
          <w:rFonts w:ascii="Book Antiqua" w:hAnsi="Book Antiqua" w:cs="Times New Roman"/>
          <w:i/>
          <w:iCs/>
          <w:sz w:val="22"/>
          <w:szCs w:val="22"/>
          <w:lang w:val="da-DK"/>
        </w:rPr>
        <w:t>public service theory</w:t>
      </w:r>
      <w:r w:rsidR="009C0D4E" w:rsidRPr="00AD02AE">
        <w:rPr>
          <w:rFonts w:ascii="Book Antiqua" w:hAnsi="Book Antiqua" w:cs="Times New Roman"/>
          <w:sz w:val="22"/>
          <w:szCs w:val="22"/>
          <w:lang w:val="da-DK"/>
        </w:rPr>
        <w:t xml:space="preserve"> dalam perspektif hukum administrasi negara.</w:t>
      </w:r>
    </w:p>
    <w:p w14:paraId="5C029B2B" w14:textId="46B5CF8B" w:rsidR="003C2E2B" w:rsidRPr="00AD02AE" w:rsidRDefault="009C0D4E" w:rsidP="003749CD">
      <w:pPr>
        <w:spacing w:after="0" w:line="240" w:lineRule="auto"/>
        <w:ind w:left="90" w:firstLine="630"/>
        <w:jc w:val="both"/>
        <w:rPr>
          <w:rFonts w:ascii="Book Antiqua" w:hAnsi="Book Antiqua" w:cs="Times New Roman"/>
          <w:b/>
          <w:bCs/>
          <w:sz w:val="22"/>
          <w:szCs w:val="22"/>
          <w:lang w:val="da-DK"/>
        </w:rPr>
      </w:pPr>
      <w:r w:rsidRPr="00AD02AE">
        <w:rPr>
          <w:rFonts w:ascii="Book Antiqua" w:hAnsi="Book Antiqua" w:cs="Times New Roman"/>
          <w:sz w:val="22"/>
          <w:szCs w:val="22"/>
          <w:lang w:val="da-DK"/>
        </w:rPr>
        <w:t>Analisis dilakukan secara kualitatif dengan membandingkan substansi pengaturan sebelum dan sesudah berlakunya UU No. 1 Tahun 2025, guna menilai sejauh mana regulasi baru tersebut memengaruhi kemandirian BUMN dalam menjalankan fungsi korporasi sekaligus pelayanan publik. Kajian diarahkan untuk mengidentifikasi problematika berupa ketidakselarasan hukum dan potensi benturan antara orientasi profitabilitas dengan kewajiban pelayanan publik. Selanjutnya, teori-teori yang digunakan dijadikan instrumen analisis untuk merumuskan bentuk harmonisasi yang ideal antara hukum korporasi dan hukum administrasi negara, sehingga dapat memperkuat peran BUMN sebagai entitas bisnis yang mandiri sekaligus instrumen negara dalam mewujudkan kesejahteraan masyarakat.</w:t>
      </w:r>
      <w:r w:rsidR="00DB382D" w:rsidRPr="00AD02AE">
        <w:rPr>
          <w:rStyle w:val="ReferensiCatatanKaki"/>
          <w:rFonts w:ascii="Book Antiqua" w:hAnsi="Book Antiqua" w:cs="Times New Roman"/>
          <w:sz w:val="22"/>
          <w:szCs w:val="22"/>
          <w:lang w:val="da-DK"/>
        </w:rPr>
        <w:footnoteReference w:id="5"/>
      </w:r>
    </w:p>
    <w:p w14:paraId="7EA1F1BF" w14:textId="77777777" w:rsidR="00AD02AE" w:rsidRPr="00AD02AE" w:rsidRDefault="00AD02AE" w:rsidP="003749CD">
      <w:pPr>
        <w:pStyle w:val="DaftarParagraf"/>
        <w:spacing w:line="240" w:lineRule="auto"/>
        <w:jc w:val="both"/>
        <w:rPr>
          <w:rFonts w:ascii="Book Antiqua" w:hAnsi="Book Antiqua" w:cs="Times New Roman"/>
          <w:sz w:val="22"/>
          <w:szCs w:val="22"/>
          <w:lang w:val="da-DK"/>
        </w:rPr>
      </w:pPr>
    </w:p>
    <w:p w14:paraId="14CD2FA2" w14:textId="7C2483D5" w:rsidR="00D72AA7" w:rsidRPr="00AD02AE" w:rsidRDefault="00D72AA7" w:rsidP="003749CD">
      <w:pPr>
        <w:pStyle w:val="DaftarParagraf"/>
        <w:numPr>
          <w:ilvl w:val="0"/>
          <w:numId w:val="1"/>
        </w:numPr>
        <w:spacing w:line="240" w:lineRule="auto"/>
        <w:jc w:val="both"/>
        <w:rPr>
          <w:rFonts w:ascii="Book Antiqua" w:hAnsi="Book Antiqua" w:cs="Times New Roman"/>
          <w:b/>
          <w:bCs/>
          <w:sz w:val="22"/>
          <w:szCs w:val="22"/>
        </w:rPr>
      </w:pPr>
      <w:r w:rsidRPr="00AD02AE">
        <w:rPr>
          <w:rFonts w:ascii="Book Antiqua" w:hAnsi="Book Antiqua" w:cs="Times New Roman"/>
          <w:b/>
          <w:bCs/>
          <w:sz w:val="22"/>
          <w:szCs w:val="22"/>
        </w:rPr>
        <w:t>HASIL DAN PEMBAHASAN</w:t>
      </w:r>
    </w:p>
    <w:p w14:paraId="7015AB3D" w14:textId="2F780857" w:rsidR="00D72AA7" w:rsidRPr="00AD02AE" w:rsidRDefault="00D72AA7" w:rsidP="00AD02AE">
      <w:pPr>
        <w:spacing w:line="240" w:lineRule="auto"/>
        <w:ind w:left="709" w:hanging="709"/>
        <w:jc w:val="both"/>
        <w:rPr>
          <w:rFonts w:ascii="Book Antiqua" w:hAnsi="Book Antiqua" w:cs="Times New Roman"/>
          <w:b/>
          <w:bCs/>
          <w:sz w:val="22"/>
          <w:szCs w:val="22"/>
          <w:lang w:val="da-DK"/>
        </w:rPr>
      </w:pPr>
      <w:r w:rsidRPr="00AD02AE">
        <w:rPr>
          <w:rFonts w:ascii="Book Antiqua" w:hAnsi="Book Antiqua" w:cs="Times New Roman"/>
          <w:b/>
          <w:bCs/>
          <w:sz w:val="22"/>
          <w:szCs w:val="22"/>
          <w:lang w:val="da-DK"/>
        </w:rPr>
        <w:t xml:space="preserve">3.1 </w:t>
      </w:r>
      <w:r w:rsidR="007E0610" w:rsidRPr="00AD02AE">
        <w:rPr>
          <w:rFonts w:ascii="Book Antiqua" w:hAnsi="Book Antiqua" w:cs="Times New Roman"/>
          <w:b/>
          <w:bCs/>
          <w:sz w:val="22"/>
          <w:szCs w:val="22"/>
          <w:lang w:val="da-DK"/>
        </w:rPr>
        <w:tab/>
      </w:r>
      <w:r w:rsidR="005C5BDF" w:rsidRPr="00AD02AE">
        <w:rPr>
          <w:rFonts w:ascii="Book Antiqua" w:hAnsi="Book Antiqua" w:cs="Times New Roman"/>
          <w:b/>
          <w:bCs/>
          <w:sz w:val="22"/>
          <w:szCs w:val="22"/>
          <w:lang w:val="da-DK"/>
        </w:rPr>
        <w:t>Pengaruh Dualitas Kedudukan BUMN terhadap Kemandirian Korporasi dan Fungsi Pelayanan Publik</w:t>
      </w:r>
    </w:p>
    <w:p w14:paraId="32D0EDEF" w14:textId="1E08FD4A" w:rsidR="007779BB" w:rsidRPr="00103A30" w:rsidRDefault="004E2A45" w:rsidP="00F84607">
      <w:pPr>
        <w:spacing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t>Indonesia</w:t>
      </w:r>
      <w:r w:rsidR="00106648" w:rsidRPr="00103A30">
        <w:rPr>
          <w:rFonts w:ascii="Book Antiqua" w:hAnsi="Book Antiqua" w:cs="Times New Roman"/>
          <w:sz w:val="22"/>
          <w:szCs w:val="22"/>
          <w:lang w:val="da-DK"/>
        </w:rPr>
        <w:t>, menurut banyak ahli</w:t>
      </w:r>
      <w:r w:rsidRPr="00103A30">
        <w:rPr>
          <w:rFonts w:ascii="Book Antiqua" w:hAnsi="Book Antiqua" w:cs="Times New Roman"/>
          <w:sz w:val="22"/>
          <w:szCs w:val="22"/>
          <w:lang w:val="da-DK"/>
        </w:rPr>
        <w:t xml:space="preserve"> merupakan salah satu dari banyaknya negara yang </w:t>
      </w:r>
      <w:r w:rsidR="00106648" w:rsidRPr="00103A30">
        <w:rPr>
          <w:rFonts w:ascii="Book Antiqua" w:hAnsi="Book Antiqua" w:cs="Times New Roman"/>
          <w:sz w:val="22"/>
          <w:szCs w:val="22"/>
          <w:lang w:val="da-DK"/>
        </w:rPr>
        <w:t>lahir dengan konsep negara</w:t>
      </w:r>
      <w:r w:rsidRPr="00103A30">
        <w:rPr>
          <w:rFonts w:ascii="Book Antiqua" w:hAnsi="Book Antiqua" w:cs="Times New Roman"/>
          <w:sz w:val="22"/>
          <w:szCs w:val="22"/>
          <w:lang w:val="da-DK"/>
        </w:rPr>
        <w:t xml:space="preserve"> kesejahteraan (</w:t>
      </w:r>
      <w:r w:rsidRPr="00103A30">
        <w:rPr>
          <w:rFonts w:ascii="Book Antiqua" w:hAnsi="Book Antiqua" w:cs="Times New Roman"/>
          <w:i/>
          <w:iCs/>
          <w:sz w:val="22"/>
          <w:szCs w:val="22"/>
          <w:lang w:val="da-DK"/>
        </w:rPr>
        <w:t>welfare-state</w:t>
      </w:r>
      <w:r w:rsidRPr="00103A30">
        <w:rPr>
          <w:rFonts w:ascii="Book Antiqua" w:hAnsi="Book Antiqua" w:cs="Times New Roman"/>
          <w:sz w:val="22"/>
          <w:szCs w:val="22"/>
          <w:lang w:val="da-DK"/>
        </w:rPr>
        <w:t xml:space="preserve">) seperti negara lainnya yang telah lebih dulu menganut prinsip yang sama seperti </w:t>
      </w:r>
      <w:r w:rsidR="00106648" w:rsidRPr="00103A30">
        <w:rPr>
          <w:rFonts w:ascii="Book Antiqua" w:hAnsi="Book Antiqua" w:cs="Times New Roman"/>
          <w:sz w:val="22"/>
          <w:szCs w:val="22"/>
          <w:lang w:val="da-DK"/>
        </w:rPr>
        <w:t>Norwegia, Swedia, dan Denmark, adapun bukti Indonesia menganut konsep negara kesejahteraan dapat dilihat melalui tujuan dan dasar negara yang terkandung di dalam pembukaan Undang-Undang Dasar (UUD) 1945 dan Pancasila. Konsepsi negara kesejahteraan dalam bidang hukum administrasi melahirkan “</w:t>
      </w:r>
      <w:r w:rsidR="00106648" w:rsidRPr="00103A30">
        <w:rPr>
          <w:rFonts w:ascii="Book Antiqua" w:hAnsi="Book Antiqua" w:cs="Times New Roman"/>
          <w:i/>
          <w:iCs/>
          <w:sz w:val="22"/>
          <w:szCs w:val="22"/>
          <w:lang w:val="da-DK"/>
        </w:rPr>
        <w:t>freies ermessen</w:t>
      </w:r>
      <w:r w:rsidR="00106648" w:rsidRPr="00103A30">
        <w:rPr>
          <w:rFonts w:ascii="Book Antiqua" w:hAnsi="Book Antiqua" w:cs="Times New Roman"/>
          <w:sz w:val="22"/>
          <w:szCs w:val="22"/>
          <w:lang w:val="da-DK"/>
        </w:rPr>
        <w:t>” yaitu kewenangan untuk melakukan Tindakan-tindakan atas dasar konstitusi guna menciptakan kesejahteraan umum.</w:t>
      </w:r>
      <w:r w:rsidR="00EE1DD4" w:rsidRPr="00103A30">
        <w:rPr>
          <w:rFonts w:ascii="Book Antiqua" w:hAnsi="Book Antiqua" w:cs="Times New Roman"/>
          <w:sz w:val="22"/>
          <w:szCs w:val="22"/>
          <w:lang w:val="da-DK"/>
        </w:rPr>
        <w:t xml:space="preserve"> Prinsip yang mendasari konsep ini ialah kesetaraan kesempatan, di mana terdapat tanggung jawab sosial bersama dengan distribusi kekayaan merata guna membantu rakyat yang tidak mampu.</w:t>
      </w:r>
      <w:r w:rsidR="00F44914" w:rsidRPr="00AD02AE">
        <w:rPr>
          <w:rStyle w:val="ReferensiCatatanKaki"/>
          <w:rFonts w:ascii="Book Antiqua" w:hAnsi="Book Antiqua" w:cs="Times New Roman"/>
          <w:sz w:val="22"/>
          <w:szCs w:val="22"/>
          <w:lang w:val="en-ID"/>
        </w:rPr>
        <w:footnoteReference w:id="6"/>
      </w:r>
    </w:p>
    <w:p w14:paraId="7A1BEDD8" w14:textId="19235E44" w:rsidR="00EE1DD4" w:rsidRPr="00103A30" w:rsidRDefault="00EE1DD4" w:rsidP="00F84607">
      <w:pPr>
        <w:spacing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t>Pembentukan suatu badan usaha negara atau BUMN pada tiap negara sering sekali berbeda, namun umumnya dilatar</w:t>
      </w:r>
      <w:r w:rsidR="00802892" w:rsidRPr="00103A30">
        <w:rPr>
          <w:rFonts w:ascii="Book Antiqua" w:hAnsi="Book Antiqua" w:cs="Times New Roman"/>
          <w:sz w:val="22"/>
          <w:szCs w:val="22"/>
          <w:lang w:val="da-DK"/>
        </w:rPr>
        <w:t xml:space="preserve"> </w:t>
      </w:r>
      <w:r w:rsidRPr="00103A30">
        <w:rPr>
          <w:rFonts w:ascii="Book Antiqua" w:hAnsi="Book Antiqua" w:cs="Times New Roman"/>
          <w:sz w:val="22"/>
          <w:szCs w:val="22"/>
          <w:lang w:val="da-DK"/>
        </w:rPr>
        <w:t xml:space="preserve">belakangi oleh alasan ekonomi, sosial, politik, maupun juga sebuah warisan Sejarah. </w:t>
      </w:r>
      <w:r w:rsidR="00675F21" w:rsidRPr="00103A30">
        <w:rPr>
          <w:rFonts w:ascii="Book Antiqua" w:hAnsi="Book Antiqua" w:cs="Times New Roman"/>
          <w:sz w:val="22"/>
          <w:szCs w:val="22"/>
          <w:lang w:val="da-DK"/>
        </w:rPr>
        <w:t xml:space="preserve">Adapun </w:t>
      </w:r>
      <w:r w:rsidRPr="00103A30">
        <w:rPr>
          <w:rFonts w:ascii="Book Antiqua" w:hAnsi="Book Antiqua" w:cs="Times New Roman"/>
          <w:sz w:val="22"/>
          <w:szCs w:val="22"/>
          <w:lang w:val="da-DK"/>
        </w:rPr>
        <w:t xml:space="preserve">Badan Usaha Milik Negara (BUMN) di </w:t>
      </w:r>
      <w:r w:rsidRPr="00103A30">
        <w:rPr>
          <w:rFonts w:ascii="Book Antiqua" w:hAnsi="Book Antiqua" w:cs="Times New Roman"/>
          <w:sz w:val="22"/>
          <w:szCs w:val="22"/>
          <w:lang w:val="da-DK"/>
        </w:rPr>
        <w:lastRenderedPageBreak/>
        <w:t xml:space="preserve">Indonesia </w:t>
      </w:r>
      <w:r w:rsidR="00675F21" w:rsidRPr="00103A30">
        <w:rPr>
          <w:rFonts w:ascii="Book Antiqua" w:hAnsi="Book Antiqua" w:cs="Times New Roman"/>
          <w:sz w:val="22"/>
          <w:szCs w:val="22"/>
          <w:lang w:val="da-DK"/>
        </w:rPr>
        <w:t>sendiri secara historis tidak memiliki data pasti mengenai asal kemunculannya dalam tata ekonomi nasional. Menurut Martiano Hadianto, hal ini dipengaruhi dengan situasi dan kondisi pada masa bersiap kemerdekaan, bahkan pada masa pasca kemerdekaan, yang mana pada saat itu stabilitas politik terus mendapatkan ujian, hal tersebut kemudian juga mempengaruhi system administrasi pemerintahan. Meskipun tidak terdapat rujukan yang cukup pasti, akar kegiatan ekonomi yang dilakukan negara termasuk juga badan usaha yang dibentuk, telah muncul sejak Indonesia Merdeka.</w:t>
      </w:r>
    </w:p>
    <w:p w14:paraId="28217A39" w14:textId="0F5B253F" w:rsidR="00675F21" w:rsidRPr="00103A30" w:rsidRDefault="00675F21" w:rsidP="00EB77B9">
      <w:pPr>
        <w:spacing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t xml:space="preserve">BUMN memiliki karakteristik khusus dalam pendirian maupun penyelenggaraan kegiatannya, yakni terdapat </w:t>
      </w:r>
      <w:r w:rsidR="00EB77B9" w:rsidRPr="00103A30">
        <w:rPr>
          <w:rFonts w:ascii="Book Antiqua" w:hAnsi="Book Antiqua" w:cs="Times New Roman"/>
          <w:sz w:val="22"/>
          <w:szCs w:val="22"/>
          <w:lang w:val="da-DK"/>
        </w:rPr>
        <w:t>dualitas kedudukan</w:t>
      </w:r>
      <w:r w:rsidRPr="00103A30">
        <w:rPr>
          <w:rFonts w:ascii="Book Antiqua" w:hAnsi="Book Antiqua" w:cs="Times New Roman"/>
          <w:sz w:val="22"/>
          <w:szCs w:val="22"/>
          <w:lang w:val="da-DK"/>
        </w:rPr>
        <w:t xml:space="preserve"> </w:t>
      </w:r>
      <w:r w:rsidR="00EB77B9" w:rsidRPr="00103A30">
        <w:rPr>
          <w:rFonts w:ascii="Book Antiqua" w:hAnsi="Book Antiqua" w:cs="Times New Roman"/>
          <w:sz w:val="22"/>
          <w:szCs w:val="22"/>
          <w:lang w:val="da-DK"/>
        </w:rPr>
        <w:t xml:space="preserve">fungsi </w:t>
      </w:r>
      <w:r w:rsidRPr="00103A30">
        <w:rPr>
          <w:rFonts w:ascii="Book Antiqua" w:hAnsi="Book Antiqua" w:cs="Times New Roman"/>
          <w:sz w:val="22"/>
          <w:szCs w:val="22"/>
          <w:lang w:val="da-DK"/>
        </w:rPr>
        <w:t xml:space="preserve">yang terkandung dalam badan ini </w:t>
      </w:r>
      <w:r w:rsidR="00EB77B9" w:rsidRPr="00103A30">
        <w:rPr>
          <w:rFonts w:ascii="Book Antiqua" w:hAnsi="Book Antiqua" w:cs="Times New Roman"/>
          <w:sz w:val="22"/>
          <w:szCs w:val="22"/>
          <w:lang w:val="da-DK"/>
        </w:rPr>
        <w:t xml:space="preserve">yaitu fungsi publik dan juga fungsi badan usaha. Karakteristik BUMN sebagai suatu badan usaha menuntut badan ini untuk menghasilkan keuntungan dan memiliki suatu nilai profitisasi untuk negara, namun disamping itu melekat juga fungsi non komersial berupa </w:t>
      </w:r>
      <w:r w:rsidR="00EB77B9" w:rsidRPr="00103A30">
        <w:rPr>
          <w:rFonts w:ascii="Book Antiqua" w:hAnsi="Book Antiqua" w:cs="Times New Roman"/>
          <w:i/>
          <w:iCs/>
          <w:sz w:val="22"/>
          <w:szCs w:val="22"/>
          <w:lang w:val="da-DK"/>
        </w:rPr>
        <w:t>Public Service Obligation</w:t>
      </w:r>
      <w:r w:rsidR="00EB77B9" w:rsidRPr="00103A30">
        <w:rPr>
          <w:rFonts w:ascii="Book Antiqua" w:hAnsi="Book Antiqua" w:cs="Times New Roman"/>
          <w:sz w:val="22"/>
          <w:szCs w:val="22"/>
          <w:lang w:val="da-DK"/>
        </w:rPr>
        <w:t xml:space="preserve"> (PSO) dalam memikul tujuan penyejahteraan Masyarakat yang menjadi tujuan negara sebagaimana telah dijelaskan sebelumnya.</w:t>
      </w:r>
    </w:p>
    <w:p w14:paraId="565ACA74" w14:textId="53558C86" w:rsidR="00F84607" w:rsidRPr="00103A30" w:rsidRDefault="00F84607" w:rsidP="00F84607">
      <w:pPr>
        <w:spacing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t xml:space="preserve">Secara normatif dualitas kedudukan </w:t>
      </w:r>
      <w:r w:rsidR="00EB77B9" w:rsidRPr="00103A30">
        <w:rPr>
          <w:rFonts w:ascii="Book Antiqua" w:hAnsi="Book Antiqua" w:cs="Times New Roman"/>
          <w:sz w:val="22"/>
          <w:szCs w:val="22"/>
          <w:lang w:val="da-DK"/>
        </w:rPr>
        <w:t>BUMN</w:t>
      </w:r>
      <w:r w:rsidRPr="00103A30">
        <w:rPr>
          <w:rFonts w:ascii="Book Antiqua" w:hAnsi="Book Antiqua" w:cs="Times New Roman"/>
          <w:sz w:val="22"/>
          <w:szCs w:val="22"/>
          <w:lang w:val="da-DK"/>
        </w:rPr>
        <w:t xml:space="preserve"> diakibatkan oleh tumpang tindih pengaturan dalam Undang-Undang No. 40 Tahun 2007 tentang Perseroan Terbatas, Undang-Undang</w:t>
      </w:r>
      <w:r w:rsidR="003C1022" w:rsidRPr="00103A30">
        <w:rPr>
          <w:rFonts w:ascii="Book Antiqua" w:hAnsi="Book Antiqua" w:cs="Times New Roman"/>
          <w:sz w:val="22"/>
          <w:szCs w:val="22"/>
          <w:lang w:val="da-DK"/>
        </w:rPr>
        <w:t xml:space="preserve"> No. 1 Tahun 2025 tentang</w:t>
      </w:r>
      <w:r w:rsidRPr="00103A30">
        <w:rPr>
          <w:rFonts w:ascii="Book Antiqua" w:hAnsi="Book Antiqua" w:cs="Times New Roman"/>
          <w:sz w:val="22"/>
          <w:szCs w:val="22"/>
          <w:lang w:val="da-DK"/>
        </w:rPr>
        <w:t xml:space="preserve"> BUMN</w:t>
      </w:r>
      <w:r w:rsidR="003C1022" w:rsidRPr="00103A30">
        <w:rPr>
          <w:rFonts w:ascii="Book Antiqua" w:hAnsi="Book Antiqua" w:cs="Times New Roman"/>
          <w:sz w:val="22"/>
          <w:szCs w:val="22"/>
          <w:lang w:val="da-DK"/>
        </w:rPr>
        <w:t xml:space="preserve"> beserta perubahannya</w:t>
      </w:r>
      <w:r w:rsidRPr="00103A30">
        <w:rPr>
          <w:rFonts w:ascii="Book Antiqua" w:hAnsi="Book Antiqua" w:cs="Times New Roman"/>
          <w:sz w:val="22"/>
          <w:szCs w:val="22"/>
          <w:lang w:val="da-DK"/>
        </w:rPr>
        <w:t>,</w:t>
      </w:r>
      <w:r w:rsidR="003C1022" w:rsidRPr="00103A30">
        <w:rPr>
          <w:rFonts w:ascii="Book Antiqua" w:hAnsi="Book Antiqua" w:cs="Times New Roman"/>
          <w:sz w:val="22"/>
          <w:szCs w:val="22"/>
          <w:lang w:val="da-DK"/>
        </w:rPr>
        <w:t xml:space="preserve"> dan</w:t>
      </w:r>
      <w:r w:rsidRPr="00103A30">
        <w:rPr>
          <w:rFonts w:ascii="Book Antiqua" w:hAnsi="Book Antiqua" w:cs="Times New Roman"/>
          <w:sz w:val="22"/>
          <w:szCs w:val="22"/>
          <w:lang w:val="da-DK"/>
        </w:rPr>
        <w:t xml:space="preserve"> Undang-Undang</w:t>
      </w:r>
      <w:r w:rsidR="003C1022" w:rsidRPr="00103A30">
        <w:rPr>
          <w:rFonts w:ascii="Book Antiqua" w:hAnsi="Book Antiqua" w:cs="Times New Roman"/>
          <w:sz w:val="22"/>
          <w:szCs w:val="22"/>
          <w:lang w:val="da-DK"/>
        </w:rPr>
        <w:t xml:space="preserve"> No. 17 Tahun 2003 tentang</w:t>
      </w:r>
      <w:r w:rsidRPr="00103A30">
        <w:rPr>
          <w:rFonts w:ascii="Book Antiqua" w:hAnsi="Book Antiqua" w:cs="Times New Roman"/>
          <w:sz w:val="22"/>
          <w:szCs w:val="22"/>
          <w:lang w:val="da-DK"/>
        </w:rPr>
        <w:t xml:space="preserve"> Keuangan Negara.</w:t>
      </w:r>
      <w:r w:rsidRPr="00AD02AE">
        <w:rPr>
          <w:rStyle w:val="ReferensiCatatanKaki"/>
          <w:rFonts w:ascii="Book Antiqua" w:hAnsi="Book Antiqua" w:cs="Times New Roman"/>
          <w:sz w:val="22"/>
          <w:szCs w:val="22"/>
          <w:lang w:val="en-ID"/>
        </w:rPr>
        <w:footnoteReference w:id="7"/>
      </w:r>
      <w:r w:rsidRPr="00103A30">
        <w:rPr>
          <w:rFonts w:ascii="Book Antiqua" w:hAnsi="Book Antiqua" w:cs="Times New Roman"/>
          <w:sz w:val="22"/>
          <w:szCs w:val="22"/>
          <w:lang w:val="da-DK"/>
        </w:rPr>
        <w:t xml:space="preserve"> UU PT menganut prinsip privat dengan menekankan efisiensi, akuntabilitas, dan profitabilitas perusahaan, sedangkan UU BUMN menempatkan entitas ini dalam kerangka ganda: korporasi sekaligus perpanjangan tangan negara.</w:t>
      </w:r>
      <w:r w:rsidR="00EB77B9" w:rsidRPr="00103A30">
        <w:rPr>
          <w:rFonts w:ascii="Book Antiqua" w:hAnsi="Book Antiqua" w:cs="Times New Roman"/>
          <w:sz w:val="22"/>
          <w:szCs w:val="22"/>
          <w:lang w:val="da-DK"/>
        </w:rPr>
        <w:t xml:space="preserve"> </w:t>
      </w:r>
      <w:r w:rsidRPr="00103A30">
        <w:rPr>
          <w:rFonts w:ascii="Book Antiqua" w:hAnsi="Book Antiqua" w:cs="Times New Roman"/>
          <w:sz w:val="22"/>
          <w:szCs w:val="22"/>
          <w:lang w:val="da-DK"/>
        </w:rPr>
        <w:t xml:space="preserve"> Ketidaksinkronan ini menyebabkan ruang abu-abu dalam pengawasan dan pertanggungjawaban, yang pada praktiknya menimbulkan tarik-menarik antara efisiensi korporasi dengan kontrol publik. </w:t>
      </w:r>
    </w:p>
    <w:p w14:paraId="5A9BFB34" w14:textId="41917015" w:rsidR="00002D44" w:rsidRPr="00AD02AE" w:rsidRDefault="004C1D0C" w:rsidP="003749CD">
      <w:pPr>
        <w:spacing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Tidak hanya sebuah problematika yang bersifat normatif, d</w:t>
      </w:r>
      <w:r w:rsidR="00002D44" w:rsidRPr="00AD02AE">
        <w:rPr>
          <w:rFonts w:ascii="Book Antiqua" w:hAnsi="Book Antiqua" w:cs="Times New Roman"/>
          <w:sz w:val="22"/>
          <w:szCs w:val="22"/>
          <w:lang w:val="da-DK"/>
        </w:rPr>
        <w:t xml:space="preserve">ualitas kedudukan </w:t>
      </w:r>
      <w:r w:rsidR="00F84607" w:rsidRPr="00AD02AE">
        <w:rPr>
          <w:rFonts w:ascii="Book Antiqua" w:hAnsi="Book Antiqua" w:cs="Times New Roman"/>
          <w:sz w:val="22"/>
          <w:szCs w:val="22"/>
          <w:lang w:val="da-DK"/>
        </w:rPr>
        <w:t>BUMN</w:t>
      </w:r>
      <w:r w:rsidR="00002D44" w:rsidRPr="00AD02AE">
        <w:rPr>
          <w:rFonts w:ascii="Book Antiqua" w:hAnsi="Book Antiqua" w:cs="Times New Roman"/>
          <w:sz w:val="22"/>
          <w:szCs w:val="22"/>
          <w:lang w:val="da-DK"/>
        </w:rPr>
        <w:t xml:space="preserve"> dalam sistem hukum Indonesia telah lama juga</w:t>
      </w:r>
      <w:r w:rsidRPr="00AD02AE">
        <w:rPr>
          <w:rFonts w:ascii="Book Antiqua" w:hAnsi="Book Antiqua" w:cs="Times New Roman"/>
          <w:sz w:val="22"/>
          <w:szCs w:val="22"/>
          <w:lang w:val="da-DK"/>
        </w:rPr>
        <w:t xml:space="preserve"> menjadi problematika</w:t>
      </w:r>
      <w:r w:rsidR="00002D44" w:rsidRPr="00AD02AE">
        <w:rPr>
          <w:rFonts w:ascii="Book Antiqua" w:hAnsi="Book Antiqua" w:cs="Times New Roman"/>
          <w:sz w:val="22"/>
          <w:szCs w:val="22"/>
          <w:lang w:val="da-DK"/>
        </w:rPr>
        <w:t xml:space="preserve"> praktis dalam tataran operasional. Secara konseptual, BUMN merupakan entitas bisnis yang tunduk pada hukum privat, khususnya hukum perseroan, dengan kewajiban untuk menghasilkan keuntungan, meningkatkan efisiensi, dan memberikan kontribusi fiskal kepada negara.</w:t>
      </w:r>
      <w:r w:rsidR="004062B4" w:rsidRPr="00AD02AE">
        <w:rPr>
          <w:rStyle w:val="ReferensiCatatanKaki"/>
          <w:rFonts w:ascii="Book Antiqua" w:hAnsi="Book Antiqua" w:cs="Times New Roman"/>
          <w:sz w:val="22"/>
          <w:szCs w:val="22"/>
          <w:lang w:val="da-DK"/>
        </w:rPr>
        <w:footnoteReference w:id="8"/>
      </w:r>
      <w:r w:rsidR="00002D44" w:rsidRPr="00AD02AE">
        <w:rPr>
          <w:rFonts w:ascii="Book Antiqua" w:hAnsi="Book Antiqua" w:cs="Times New Roman"/>
          <w:sz w:val="22"/>
          <w:szCs w:val="22"/>
          <w:lang w:val="da-DK"/>
        </w:rPr>
        <w:t xml:space="preserve"> Akan tetapi, di sisi lain, BUMN juga diposisikan sebagai perpanjangan tangan negara dalam menjalankan fungsi pelayanan publik, termasuk menjaga keterjangkauan harga barang dan jasa strategis serta mendukung kebijakan pembangunan nasional. Kedudukan ganda ini menimbulkan dilema yang bersifat struktural karena prinsip-prinsip</w:t>
      </w:r>
      <w:r w:rsidRPr="00AD02AE">
        <w:rPr>
          <w:rFonts w:ascii="Book Antiqua" w:hAnsi="Book Antiqua" w:cs="Times New Roman"/>
          <w:sz w:val="22"/>
          <w:szCs w:val="22"/>
          <w:lang w:val="da-DK"/>
        </w:rPr>
        <w:t xml:space="preserve"> korporasi </w:t>
      </w:r>
      <w:r w:rsidR="00002D44" w:rsidRPr="00AD02AE">
        <w:rPr>
          <w:rFonts w:ascii="Book Antiqua" w:hAnsi="Book Antiqua" w:cs="Times New Roman"/>
          <w:sz w:val="22"/>
          <w:szCs w:val="22"/>
          <w:lang w:val="da-DK"/>
        </w:rPr>
        <w:t>sering kali berbenturan dengan mandat pelayanan publik yang diatur melalui hukum administrasi negara. Dengan demikian, keberadaan BUMN selalu berada di antara dua kutub kepentingan: profitabilitas korporasi dan fungsi sosial-ekonomi.</w:t>
      </w:r>
    </w:p>
    <w:p w14:paraId="2BD3D9A5" w14:textId="7EA9D883" w:rsidR="00002D44" w:rsidRPr="00AD02AE" w:rsidRDefault="00B44AEC" w:rsidP="003749CD">
      <w:pPr>
        <w:spacing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lastRenderedPageBreak/>
        <w:t>D</w:t>
      </w:r>
      <w:r w:rsidR="00002D44" w:rsidRPr="00AD02AE">
        <w:rPr>
          <w:rFonts w:ascii="Book Antiqua" w:hAnsi="Book Antiqua" w:cs="Times New Roman"/>
          <w:sz w:val="22"/>
          <w:szCs w:val="22"/>
          <w:lang w:val="da-DK"/>
        </w:rPr>
        <w:t>ualitas ini muncul sejak masa Orde Baru ketika BUMN digunakan sebagai instrumen pembangunan sekaligus sumber penerimaan negara.</w:t>
      </w:r>
      <w:r w:rsidR="00DB382D" w:rsidRPr="00AD02AE">
        <w:rPr>
          <w:rStyle w:val="ReferensiCatatanKaki"/>
          <w:rFonts w:ascii="Book Antiqua" w:hAnsi="Book Antiqua" w:cs="Times New Roman"/>
          <w:sz w:val="22"/>
          <w:szCs w:val="22"/>
          <w:lang w:val="da-DK"/>
        </w:rPr>
        <w:footnoteReference w:id="9"/>
      </w:r>
      <w:r w:rsidR="00002D44" w:rsidRPr="00AD02AE">
        <w:rPr>
          <w:rFonts w:ascii="Book Antiqua" w:hAnsi="Book Antiqua" w:cs="Times New Roman"/>
          <w:sz w:val="22"/>
          <w:szCs w:val="22"/>
          <w:lang w:val="da-DK"/>
        </w:rPr>
        <w:t xml:space="preserve"> Namun, praktik pengelolaan BUMN pada masa itu sarat dengan intervensi politik dan minim akuntabilitas, sehingga menimbulkan inefisiensi struktural. Reformasi pasca-1998 melahirkan Undang-Undang Nomor 19 Tahun 2003 tentang BUMN yang berupaya mempertegas kedudukan BUMN sebagai entitas korporasi dengan pemisahan kekayaan negara yang dipisahkan dari APBN. Meskipun demikian, problem dualitas tidak sepenuhnya teratasi karena BUMN tetap dibebani tugas pelayanan publik melalui mekanisme PSO</w:t>
      </w:r>
      <w:r w:rsidR="00595363" w:rsidRPr="00AD02AE">
        <w:rPr>
          <w:rFonts w:ascii="Book Antiqua" w:hAnsi="Book Antiqua" w:cs="Times New Roman"/>
          <w:sz w:val="22"/>
          <w:szCs w:val="22"/>
          <w:lang w:val="da-DK"/>
        </w:rPr>
        <w:t>.</w:t>
      </w:r>
      <w:r w:rsidR="00DB382D" w:rsidRPr="00AD02AE">
        <w:rPr>
          <w:rStyle w:val="ReferensiCatatanKaki"/>
          <w:rFonts w:ascii="Book Antiqua" w:hAnsi="Book Antiqua" w:cs="Times New Roman"/>
          <w:sz w:val="22"/>
          <w:szCs w:val="22"/>
          <w:lang w:val="da-DK"/>
        </w:rPr>
        <w:footnoteReference w:id="10"/>
      </w:r>
      <w:r w:rsidR="00002D44" w:rsidRPr="00AD02AE">
        <w:rPr>
          <w:rFonts w:ascii="Book Antiqua" w:hAnsi="Book Antiqua" w:cs="Times New Roman"/>
          <w:sz w:val="22"/>
          <w:szCs w:val="22"/>
          <w:lang w:val="da-DK"/>
        </w:rPr>
        <w:t xml:space="preserve"> Sejak itu hingga lahirnya Undang-Undang Nomor 1 Tahun 2025, BUMN masih terjebak dalam situasi ambigu</w:t>
      </w:r>
      <w:r w:rsidRPr="00AD02AE">
        <w:rPr>
          <w:rFonts w:ascii="Book Antiqua" w:hAnsi="Book Antiqua" w:cs="Times New Roman"/>
          <w:sz w:val="22"/>
          <w:szCs w:val="22"/>
          <w:lang w:val="da-DK"/>
        </w:rPr>
        <w:t>,</w:t>
      </w:r>
      <w:r w:rsidR="00002D44" w:rsidRPr="00AD02AE">
        <w:rPr>
          <w:rFonts w:ascii="Book Antiqua" w:hAnsi="Book Antiqua" w:cs="Times New Roman"/>
          <w:sz w:val="22"/>
          <w:szCs w:val="22"/>
          <w:lang w:val="da-DK"/>
        </w:rPr>
        <w:t xml:space="preserve"> di satu sisi dituntut efisien dan kompetitif, namun di sisi lain harus melaksanakan kewajiban sosial yang sering kali tidak mendapatkan kompensasi memadai dari negara.</w:t>
      </w:r>
    </w:p>
    <w:p w14:paraId="225A80C2" w14:textId="1AC0CCCF" w:rsidR="00002D44" w:rsidRPr="00AD02AE" w:rsidRDefault="00002D44" w:rsidP="003749CD">
      <w:pPr>
        <w:spacing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Sebelum berlakunya UU Nomor 1 Tahun 2025, ketergantungan BUMN terhadap </w:t>
      </w:r>
      <w:r w:rsidR="003C1022" w:rsidRPr="00AD02AE">
        <w:rPr>
          <w:rFonts w:ascii="Book Antiqua" w:hAnsi="Book Antiqua" w:cs="Times New Roman"/>
          <w:sz w:val="22"/>
          <w:szCs w:val="22"/>
          <w:lang w:val="da-DK"/>
        </w:rPr>
        <w:t>P</w:t>
      </w:r>
      <w:r w:rsidRPr="00AD02AE">
        <w:rPr>
          <w:rFonts w:ascii="Book Antiqua" w:hAnsi="Book Antiqua" w:cs="Times New Roman"/>
          <w:sz w:val="22"/>
          <w:szCs w:val="22"/>
          <w:lang w:val="da-DK"/>
        </w:rPr>
        <w:t xml:space="preserve">enyertaan </w:t>
      </w:r>
      <w:r w:rsidR="003C1022" w:rsidRPr="00AD02AE">
        <w:rPr>
          <w:rFonts w:ascii="Book Antiqua" w:hAnsi="Book Antiqua" w:cs="Times New Roman"/>
          <w:sz w:val="22"/>
          <w:szCs w:val="22"/>
          <w:lang w:val="da-DK"/>
        </w:rPr>
        <w:t>M</w:t>
      </w:r>
      <w:r w:rsidRPr="00AD02AE">
        <w:rPr>
          <w:rFonts w:ascii="Book Antiqua" w:hAnsi="Book Antiqua" w:cs="Times New Roman"/>
          <w:sz w:val="22"/>
          <w:szCs w:val="22"/>
          <w:lang w:val="da-DK"/>
        </w:rPr>
        <w:t xml:space="preserve">odal </w:t>
      </w:r>
      <w:r w:rsidR="003C1022" w:rsidRPr="00AD02AE">
        <w:rPr>
          <w:rFonts w:ascii="Book Antiqua" w:hAnsi="Book Antiqua" w:cs="Times New Roman"/>
          <w:sz w:val="22"/>
          <w:szCs w:val="22"/>
          <w:lang w:val="da-DK"/>
        </w:rPr>
        <w:t>N</w:t>
      </w:r>
      <w:r w:rsidRPr="00AD02AE">
        <w:rPr>
          <w:rFonts w:ascii="Book Antiqua" w:hAnsi="Book Antiqua" w:cs="Times New Roman"/>
          <w:sz w:val="22"/>
          <w:szCs w:val="22"/>
          <w:lang w:val="da-DK"/>
        </w:rPr>
        <w:t>egara (PMN) sangat dominan. PMN sering dijadikan instrumen politik anggaran yang memungkinkan pemerintah menyelamatkan BUMN yang mengalami kesulitan keuangan, tanpa selalu mempertimbangkan prinsip efisiensi dan akuntabilitas. Di samping itu, banyak BUMN yang ditugaskan melaksanakan PSO seperti penyediaan listrik, transportasi publik, dan distribusi bahan bakar dengan harga terjangkau, tanpa adanya skema kompensasi yang sebanding.</w:t>
      </w:r>
      <w:r w:rsidR="002A43A9" w:rsidRPr="00AD02AE">
        <w:rPr>
          <w:rStyle w:val="ReferensiCatatanKaki"/>
          <w:rFonts w:ascii="Book Antiqua" w:hAnsi="Book Antiqua" w:cs="Times New Roman"/>
          <w:sz w:val="22"/>
          <w:szCs w:val="22"/>
          <w:lang w:val="da-DK"/>
        </w:rPr>
        <w:footnoteReference w:id="11"/>
      </w:r>
      <w:r w:rsidRPr="00AD02AE">
        <w:rPr>
          <w:rFonts w:ascii="Book Antiqua" w:hAnsi="Book Antiqua" w:cs="Times New Roman"/>
          <w:sz w:val="22"/>
          <w:szCs w:val="22"/>
          <w:lang w:val="da-DK"/>
        </w:rPr>
        <w:t xml:space="preserve"> Akibatnya, kinerja keuangan BUMN kerap tidak mencerminkan realitas pasar, melainkan distorsi akibat beban kebijakan sosial. Hal ini memperlihatkan bahwa sebelum adanya pembaruan hukum, BUMN lebih berfungsi sebagai instrumen kebijakan publik ketimbang entitas korporasi yang otonom.</w:t>
      </w:r>
      <w:r w:rsidR="00B44AEC" w:rsidRPr="00AD02AE">
        <w:rPr>
          <w:rFonts w:ascii="Book Antiqua" w:hAnsi="Book Antiqua" w:cs="Times New Roman"/>
          <w:sz w:val="22"/>
          <w:szCs w:val="22"/>
          <w:lang w:val="da-DK"/>
        </w:rPr>
        <w:t xml:space="preserve"> </w:t>
      </w:r>
    </w:p>
    <w:p w14:paraId="06984056" w14:textId="2E9CC7E0" w:rsidR="00002D44" w:rsidRPr="00AD02AE" w:rsidRDefault="00002D44" w:rsidP="003749CD">
      <w:pPr>
        <w:spacing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en-ID"/>
        </w:rPr>
        <w:t xml:space="preserve">Undang-Undang Nomor 1 Tahun 2025 kemudian hadir dengan membawa pembaruan. Regulasi ini memperluas ruang gerak BUMN untuk bertindak sebagai entitas bisnis yang lebih mandiri, termasuk memberikan kewenangan yang lebih besar dalam membentuk anak perusahaan, melakukan diversifikasi usaha, dan mengakses sumber pembiayaan non-APBN. </w:t>
      </w:r>
      <w:r w:rsidRPr="00AD02AE">
        <w:rPr>
          <w:rFonts w:ascii="Book Antiqua" w:hAnsi="Book Antiqua" w:cs="Times New Roman"/>
          <w:sz w:val="22"/>
          <w:szCs w:val="22"/>
          <w:lang w:val="da-DK"/>
        </w:rPr>
        <w:t>Penguatan kelembagaan juga terlihat dari reposisi organ BUMN, di mana</w:t>
      </w:r>
      <w:r w:rsidR="00B73668" w:rsidRPr="00AD02AE">
        <w:rPr>
          <w:rFonts w:ascii="Book Antiqua" w:hAnsi="Book Antiqua" w:cs="Times New Roman"/>
          <w:sz w:val="22"/>
          <w:szCs w:val="22"/>
          <w:lang w:val="da-DK"/>
        </w:rPr>
        <w:t xml:space="preserve"> pada pasal 3X menyatakan</w:t>
      </w:r>
      <w:r w:rsidRPr="00AD02AE">
        <w:rPr>
          <w:rFonts w:ascii="Book Antiqua" w:hAnsi="Book Antiqua" w:cs="Times New Roman"/>
          <w:sz w:val="22"/>
          <w:szCs w:val="22"/>
          <w:lang w:val="da-DK"/>
        </w:rPr>
        <w:t xml:space="preserve"> direksi dan komisaris tidak lagi dikategorikan sebagai penyelenggara negara. Hal ini penting karena mengurangi risiko kriminalisasi atas keputusan bisnis, mengingat sebelumnya terdapat kecenderungan keputusan direksi BUMN ditafsirkan sebagai kebijakan publik sehingga tunduk pada logika hukum administrasi negara</w:t>
      </w:r>
      <w:r w:rsidR="003C1022" w:rsidRPr="00AD02AE">
        <w:rPr>
          <w:rFonts w:ascii="Book Antiqua" w:hAnsi="Book Antiqua" w:cs="Times New Roman"/>
          <w:sz w:val="22"/>
          <w:szCs w:val="22"/>
          <w:lang w:val="da-DK"/>
        </w:rPr>
        <w:t xml:space="preserve"> tanpa aturan yang lebih jelas, dan kemudian menahan BUMN untuk mengambil keputusan bisnis dan bersaing dengan perusahaan swasta lainnya</w:t>
      </w:r>
      <w:r w:rsidRPr="00AD02AE">
        <w:rPr>
          <w:rFonts w:ascii="Book Antiqua" w:hAnsi="Book Antiqua" w:cs="Times New Roman"/>
          <w:sz w:val="22"/>
          <w:szCs w:val="22"/>
          <w:lang w:val="da-DK"/>
        </w:rPr>
        <w:t xml:space="preserve">. Dengan perlindungan melalui prinsip </w:t>
      </w:r>
      <w:r w:rsidRPr="00AD02AE">
        <w:rPr>
          <w:rFonts w:ascii="Book Antiqua" w:hAnsi="Book Antiqua" w:cs="Times New Roman"/>
          <w:i/>
          <w:iCs/>
          <w:sz w:val="22"/>
          <w:szCs w:val="22"/>
          <w:lang w:val="da-DK"/>
        </w:rPr>
        <w:t>business judgment rule</w:t>
      </w:r>
      <w:r w:rsidRPr="00AD02AE">
        <w:rPr>
          <w:rFonts w:ascii="Book Antiqua" w:hAnsi="Book Antiqua" w:cs="Times New Roman"/>
          <w:sz w:val="22"/>
          <w:szCs w:val="22"/>
          <w:lang w:val="da-DK"/>
        </w:rPr>
        <w:t>, UU Nomor 1 Tahun 2025 mendorong terciptanya iklim manajerial yang lebih profesional dan berorientasi pada profitabilitas serta efisiensi.</w:t>
      </w:r>
      <w:r w:rsidR="00372843" w:rsidRPr="00AD02AE">
        <w:rPr>
          <w:rStyle w:val="ReferensiCatatanKaki"/>
          <w:rFonts w:ascii="Book Antiqua" w:hAnsi="Book Antiqua" w:cs="Times New Roman"/>
          <w:sz w:val="22"/>
          <w:szCs w:val="22"/>
          <w:lang w:val="da-DK"/>
        </w:rPr>
        <w:footnoteReference w:id="12"/>
      </w:r>
    </w:p>
    <w:p w14:paraId="2DBE423B" w14:textId="0B3F4AFA" w:rsidR="003B35B1" w:rsidRPr="00AD02AE" w:rsidRDefault="00D22D39" w:rsidP="00FC1015">
      <w:pPr>
        <w:spacing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lastRenderedPageBreak/>
        <w:t xml:space="preserve">Perubahan-perubahan </w:t>
      </w:r>
      <w:r w:rsidR="00FC1015" w:rsidRPr="00AD02AE">
        <w:rPr>
          <w:rFonts w:ascii="Book Antiqua" w:hAnsi="Book Antiqua" w:cs="Times New Roman"/>
          <w:sz w:val="22"/>
          <w:szCs w:val="22"/>
          <w:lang w:val="da-DK"/>
        </w:rPr>
        <w:t xml:space="preserve">substansial </w:t>
      </w:r>
      <w:r w:rsidRPr="00AD02AE">
        <w:rPr>
          <w:rFonts w:ascii="Book Antiqua" w:hAnsi="Book Antiqua" w:cs="Times New Roman"/>
          <w:sz w:val="22"/>
          <w:szCs w:val="22"/>
          <w:lang w:val="da-DK"/>
        </w:rPr>
        <w:t xml:space="preserve">dalam </w:t>
      </w:r>
      <w:r w:rsidR="00FC1015" w:rsidRPr="00AD02AE">
        <w:rPr>
          <w:rFonts w:ascii="Book Antiqua" w:hAnsi="Book Antiqua" w:cs="Times New Roman"/>
          <w:sz w:val="22"/>
          <w:szCs w:val="22"/>
          <w:lang w:val="da-DK"/>
        </w:rPr>
        <w:t xml:space="preserve">UU No. 1 Tahun 2025 dibandingkan oleh peraturan perundang-undangan sebelumnya yang berlaku mengatur mengenai poin-poin penting dalam kedudukan maupun pengelolaan BUMN, </w:t>
      </w:r>
      <w:r w:rsidR="00A37AD4" w:rsidRPr="00AD02AE">
        <w:rPr>
          <w:rFonts w:ascii="Book Antiqua" w:hAnsi="Book Antiqua" w:cs="Times New Roman"/>
          <w:sz w:val="22"/>
          <w:szCs w:val="22"/>
          <w:lang w:val="da-DK"/>
        </w:rPr>
        <w:t>dirincikan sebagai</w:t>
      </w:r>
      <w:r w:rsidR="00FC1015" w:rsidRPr="00AD02AE">
        <w:rPr>
          <w:rFonts w:ascii="Book Antiqua" w:hAnsi="Book Antiqua" w:cs="Times New Roman"/>
          <w:sz w:val="22"/>
          <w:szCs w:val="22"/>
          <w:lang w:val="da-DK"/>
        </w:rPr>
        <w:t xml:space="preserve"> berikut:</w:t>
      </w:r>
    </w:p>
    <w:p w14:paraId="6A5650AB" w14:textId="0C618DB6" w:rsidR="00C451B2" w:rsidRDefault="00C451B2" w:rsidP="00C451B2">
      <w:pPr>
        <w:spacing w:before="240" w:after="0" w:line="240" w:lineRule="auto"/>
        <w:ind w:firstLine="270"/>
        <w:jc w:val="center"/>
        <w:rPr>
          <w:rFonts w:ascii="Book Antiqua" w:hAnsi="Book Antiqua" w:cs="Times New Roman"/>
          <w:b/>
          <w:bCs/>
          <w:lang w:val="da-DK"/>
        </w:rPr>
      </w:pPr>
      <w:r w:rsidRPr="00FC1015">
        <w:rPr>
          <w:rFonts w:ascii="Book Antiqua" w:hAnsi="Book Antiqua" w:cs="Times New Roman"/>
          <w:b/>
          <w:bCs/>
          <w:lang w:val="da-DK"/>
        </w:rPr>
        <w:t>Tabel 1. Perbandingan Ketentuan Kedudukan Maupun Pengelolaan BUMN Menurut UU No. 19 Tahun  2003 (maupun undang-undang lain yang mengatur) dan Perubahannya dengan UU No. 1 Tahun 2025 J</w:t>
      </w:r>
      <w:r>
        <w:rPr>
          <w:rFonts w:ascii="Book Antiqua" w:hAnsi="Book Antiqua" w:cs="Times New Roman"/>
          <w:b/>
          <w:bCs/>
          <w:lang w:val="da-DK"/>
        </w:rPr>
        <w:t>o</w:t>
      </w:r>
      <w:r w:rsidRPr="00FC1015">
        <w:rPr>
          <w:rFonts w:ascii="Book Antiqua" w:hAnsi="Book Antiqua" w:cs="Times New Roman"/>
          <w:b/>
          <w:bCs/>
          <w:lang w:val="da-DK"/>
        </w:rPr>
        <w:t>.</w:t>
      </w:r>
      <w:r>
        <w:rPr>
          <w:rFonts w:ascii="Book Antiqua" w:hAnsi="Book Antiqua" w:cs="Times New Roman"/>
          <w:b/>
          <w:bCs/>
          <w:lang w:val="da-DK"/>
        </w:rPr>
        <w:t xml:space="preserve"> UU No. 16 Tahun 2025</w:t>
      </w:r>
    </w:p>
    <w:p w14:paraId="4EFF083D" w14:textId="77777777" w:rsidR="00C451B2" w:rsidRDefault="00C451B2" w:rsidP="00C451B2">
      <w:pPr>
        <w:spacing w:after="0" w:line="240" w:lineRule="auto"/>
        <w:ind w:firstLine="270"/>
        <w:jc w:val="center"/>
        <w:rPr>
          <w:rFonts w:ascii="Book Antiqua" w:hAnsi="Book Antiqua" w:cs="Times New Roman"/>
          <w:lang w:val="da-DK"/>
        </w:rPr>
      </w:pP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53"/>
        <w:gridCol w:w="1805"/>
        <w:gridCol w:w="1840"/>
        <w:gridCol w:w="1831"/>
        <w:gridCol w:w="2276"/>
      </w:tblGrid>
      <w:tr w:rsidR="00867C34" w14:paraId="65F03F0F" w14:textId="77777777" w:rsidTr="00AD02AE">
        <w:tc>
          <w:tcPr>
            <w:tcW w:w="801" w:type="dxa"/>
          </w:tcPr>
          <w:p w14:paraId="507021A7" w14:textId="5CC3C210" w:rsidR="00867C34" w:rsidRPr="00AD02AE" w:rsidRDefault="00867C34"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NO</w:t>
            </w:r>
          </w:p>
        </w:tc>
        <w:tc>
          <w:tcPr>
            <w:tcW w:w="1903" w:type="dxa"/>
          </w:tcPr>
          <w:p w14:paraId="16F29940" w14:textId="1F851B2C" w:rsidR="00867C34" w:rsidRPr="00AD02AE" w:rsidRDefault="00867C34"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Perihal</w:t>
            </w:r>
          </w:p>
        </w:tc>
        <w:tc>
          <w:tcPr>
            <w:tcW w:w="1902" w:type="dxa"/>
          </w:tcPr>
          <w:p w14:paraId="73EDE784" w14:textId="070245E1" w:rsidR="00867C34" w:rsidRPr="00AD02AE" w:rsidRDefault="00783905"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Dasar Hukum yang Mengatur Sebelumnya</w:t>
            </w:r>
          </w:p>
        </w:tc>
        <w:tc>
          <w:tcPr>
            <w:tcW w:w="1902" w:type="dxa"/>
          </w:tcPr>
          <w:p w14:paraId="08D7A6CC" w14:textId="00B56EE8" w:rsidR="00867C34" w:rsidRPr="00AD02AE" w:rsidRDefault="00867C34"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UU No. 1 Tahun 2025 jo.</w:t>
            </w:r>
            <w:r w:rsidR="00A37AD4" w:rsidRPr="00AD02AE">
              <w:rPr>
                <w:rFonts w:ascii="Book Antiqua" w:hAnsi="Book Antiqua" w:cs="Times New Roman"/>
                <w:b/>
                <w:bCs/>
                <w:sz w:val="20"/>
                <w:szCs w:val="20"/>
                <w:lang w:val="da-DK"/>
              </w:rPr>
              <w:t xml:space="preserve"> UU No. 16 Tahun 2025</w:t>
            </w:r>
          </w:p>
        </w:tc>
        <w:tc>
          <w:tcPr>
            <w:tcW w:w="2320" w:type="dxa"/>
          </w:tcPr>
          <w:p w14:paraId="54268CB1" w14:textId="20697181" w:rsidR="00867C34" w:rsidRPr="00AD02AE" w:rsidRDefault="00867C34"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Perubahan</w:t>
            </w:r>
          </w:p>
        </w:tc>
      </w:tr>
      <w:tr w:rsidR="00867C34" w14:paraId="41815DA4" w14:textId="77777777" w:rsidTr="00AD02AE">
        <w:tc>
          <w:tcPr>
            <w:tcW w:w="801" w:type="dxa"/>
          </w:tcPr>
          <w:p w14:paraId="4DD5D61F" w14:textId="3739B34C" w:rsidR="00867C34" w:rsidRPr="00AD02AE" w:rsidRDefault="000571BD" w:rsidP="00932CDE">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1.</w:t>
            </w:r>
          </w:p>
        </w:tc>
        <w:tc>
          <w:tcPr>
            <w:tcW w:w="1903" w:type="dxa"/>
          </w:tcPr>
          <w:p w14:paraId="1F843A68" w14:textId="50644610" w:rsidR="00867C34" w:rsidRPr="00AD02AE" w:rsidRDefault="00783905" w:rsidP="00D22D39">
            <w:pPr>
              <w:jc w:val="both"/>
              <w:rPr>
                <w:rFonts w:ascii="Book Antiqua" w:hAnsi="Book Antiqua" w:cs="Times New Roman"/>
                <w:sz w:val="20"/>
                <w:szCs w:val="20"/>
                <w:lang w:val="da-DK"/>
              </w:rPr>
            </w:pPr>
            <w:r w:rsidRPr="00AD02AE">
              <w:rPr>
                <w:rFonts w:ascii="Book Antiqua" w:hAnsi="Book Antiqua" w:cs="Times New Roman"/>
                <w:sz w:val="20"/>
                <w:szCs w:val="20"/>
                <w:lang w:val="da-DK"/>
              </w:rPr>
              <w:t>Modal BUMN</w:t>
            </w:r>
          </w:p>
        </w:tc>
        <w:tc>
          <w:tcPr>
            <w:tcW w:w="1902" w:type="dxa"/>
          </w:tcPr>
          <w:p w14:paraId="2EC164C6" w14:textId="3013196F" w:rsidR="00867C34" w:rsidRPr="00AD02AE" w:rsidRDefault="00783905" w:rsidP="00D22D39">
            <w:pPr>
              <w:jc w:val="both"/>
              <w:rPr>
                <w:rFonts w:ascii="Book Antiqua" w:hAnsi="Book Antiqua" w:cs="Times New Roman"/>
                <w:b/>
                <w:bCs/>
                <w:sz w:val="20"/>
                <w:szCs w:val="20"/>
                <w:lang w:val="da-DK"/>
              </w:rPr>
            </w:pPr>
            <w:r w:rsidRPr="00AD02AE">
              <w:rPr>
                <w:rFonts w:ascii="Book Antiqua" w:hAnsi="Book Antiqua" w:cs="Times New Roman"/>
                <w:sz w:val="20"/>
                <w:szCs w:val="20"/>
                <w:lang w:val="da-DK"/>
              </w:rPr>
              <w:t>Pasal 4 No. 1 UU No. 19 Tahun 2003 tentang BUMN menyebutkan bahwa modal BUMN berasal dari kekayaan negara yang dipisahkan. Dengan penjelasan lanjutan bahwa penyertaan modal negara untuk BUMN bersumber dari Anggaran Pendapatan dan Belanja Negara (APBN), Kapitalisasi Cadangan, Atau Sumber lainnya.</w:t>
            </w:r>
          </w:p>
        </w:tc>
        <w:tc>
          <w:tcPr>
            <w:tcW w:w="1902" w:type="dxa"/>
          </w:tcPr>
          <w:p w14:paraId="4C43D439" w14:textId="4F2B41D8" w:rsidR="00867C34" w:rsidRPr="00AD02AE" w:rsidRDefault="00783905" w:rsidP="00D22D39">
            <w:pPr>
              <w:jc w:val="both"/>
              <w:rPr>
                <w:rFonts w:ascii="Book Antiqua" w:hAnsi="Book Antiqua" w:cs="Times New Roman"/>
                <w:b/>
                <w:bCs/>
                <w:sz w:val="20"/>
                <w:szCs w:val="20"/>
                <w:lang w:val="da-DK"/>
              </w:rPr>
            </w:pPr>
            <w:r w:rsidRPr="00AD02AE">
              <w:rPr>
                <w:rFonts w:ascii="Book Antiqua" w:hAnsi="Book Antiqua" w:cs="Times New Roman"/>
                <w:sz w:val="20"/>
                <w:szCs w:val="20"/>
                <w:lang w:val="da-DK"/>
              </w:rPr>
              <w:t>Pasal 3G menyebutkan bahwa seluruh atau sebagian besar modal BUMN berasal dari penyertaan negara secara langsung dan atau terdapat hak istimewa yang dimiliki oleh Negara Republik Indonesia.</w:t>
            </w:r>
          </w:p>
        </w:tc>
        <w:tc>
          <w:tcPr>
            <w:tcW w:w="2320" w:type="dxa"/>
          </w:tcPr>
          <w:p w14:paraId="45BCC29F" w14:textId="77777777" w:rsidR="00783905" w:rsidRPr="00AD02AE" w:rsidRDefault="00783905" w:rsidP="00783905">
            <w:pPr>
              <w:pStyle w:val="DaftarParagraf"/>
              <w:numPr>
                <w:ilvl w:val="0"/>
                <w:numId w:val="10"/>
              </w:numPr>
              <w:jc w:val="both"/>
              <w:rPr>
                <w:rFonts w:ascii="Book Antiqua" w:hAnsi="Book Antiqua" w:cs="Times New Roman"/>
                <w:sz w:val="20"/>
                <w:szCs w:val="20"/>
                <w:lang w:val="da-DK"/>
              </w:rPr>
            </w:pPr>
            <w:r w:rsidRPr="00AD02AE">
              <w:rPr>
                <w:rFonts w:ascii="Book Antiqua" w:hAnsi="Book Antiqua" w:cs="Times New Roman"/>
                <w:sz w:val="20"/>
                <w:szCs w:val="20"/>
                <w:lang w:val="da-DK"/>
              </w:rPr>
              <w:t>Dihapusnya frasa ”yang berasal dari kekayaan negara yang dipisahkan”</w:t>
            </w:r>
          </w:p>
          <w:p w14:paraId="613175CF" w14:textId="5AEC0B98" w:rsidR="00867C34" w:rsidRPr="00AD02AE" w:rsidRDefault="00783905" w:rsidP="00FA30A9">
            <w:pPr>
              <w:pStyle w:val="DaftarParagraf"/>
              <w:numPr>
                <w:ilvl w:val="0"/>
                <w:numId w:val="10"/>
              </w:numPr>
              <w:jc w:val="both"/>
              <w:rPr>
                <w:rFonts w:ascii="Book Antiqua" w:hAnsi="Book Antiqua" w:cs="Times New Roman"/>
                <w:b/>
                <w:bCs/>
                <w:sz w:val="20"/>
                <w:szCs w:val="20"/>
                <w:lang w:val="da-DK"/>
              </w:rPr>
            </w:pPr>
            <w:r w:rsidRPr="00AD02AE">
              <w:rPr>
                <w:rFonts w:ascii="Book Antiqua" w:hAnsi="Book Antiqua" w:cs="Times New Roman"/>
                <w:sz w:val="20"/>
                <w:szCs w:val="20"/>
                <w:lang w:val="da-DK"/>
              </w:rPr>
              <w:t>Penambahan frasa ”terdapat hak istimewa yang dimiliki Negara Republik Indonesia” (dihapus dalam UU No. 16 tahun 2025)</w:t>
            </w:r>
          </w:p>
        </w:tc>
      </w:tr>
      <w:tr w:rsidR="007845D2" w:rsidRPr="00103A30" w14:paraId="226EE1DB" w14:textId="77777777" w:rsidTr="00AD02AE">
        <w:tc>
          <w:tcPr>
            <w:tcW w:w="801" w:type="dxa"/>
          </w:tcPr>
          <w:p w14:paraId="1E6D764F" w14:textId="351E0C83" w:rsidR="007845D2" w:rsidRPr="00AD02AE" w:rsidRDefault="00695E01" w:rsidP="007845D2">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 xml:space="preserve">2. </w:t>
            </w:r>
          </w:p>
        </w:tc>
        <w:tc>
          <w:tcPr>
            <w:tcW w:w="1903" w:type="dxa"/>
          </w:tcPr>
          <w:p w14:paraId="686089F7" w14:textId="0EA91434" w:rsidR="007845D2" w:rsidRPr="00AD02AE" w:rsidRDefault="007845D2" w:rsidP="00D22D39">
            <w:pPr>
              <w:jc w:val="both"/>
              <w:rPr>
                <w:rFonts w:ascii="Book Antiqua" w:hAnsi="Book Antiqua" w:cs="Times New Roman"/>
                <w:sz w:val="20"/>
                <w:szCs w:val="20"/>
                <w:lang w:val="da-DK"/>
              </w:rPr>
            </w:pPr>
            <w:r w:rsidRPr="00AD02AE">
              <w:rPr>
                <w:rFonts w:ascii="Book Antiqua" w:hAnsi="Book Antiqua" w:cs="Times New Roman"/>
                <w:sz w:val="20"/>
                <w:szCs w:val="20"/>
                <w:lang w:val="da-DK"/>
              </w:rPr>
              <w:t>Tata Kelola</w:t>
            </w:r>
          </w:p>
        </w:tc>
        <w:tc>
          <w:tcPr>
            <w:tcW w:w="1902" w:type="dxa"/>
          </w:tcPr>
          <w:p w14:paraId="5A99BDB1" w14:textId="587D882C" w:rsidR="007845D2" w:rsidRPr="00AD02AE" w:rsidRDefault="007845D2" w:rsidP="00D22D39">
            <w:pPr>
              <w:jc w:val="both"/>
              <w:rPr>
                <w:rFonts w:ascii="Book Antiqua" w:hAnsi="Book Antiqua" w:cs="Times New Roman"/>
                <w:sz w:val="20"/>
                <w:szCs w:val="20"/>
                <w:lang w:val="da-DK"/>
              </w:rPr>
            </w:pPr>
            <w:r w:rsidRPr="00AD02AE">
              <w:rPr>
                <w:rFonts w:ascii="Book Antiqua" w:hAnsi="Book Antiqua" w:cs="Times New Roman"/>
                <w:sz w:val="20"/>
                <w:szCs w:val="20"/>
                <w:lang w:val="da-DK"/>
              </w:rPr>
              <w:t>Pengelolaan dilakukan oleh masing-masing BUMN</w:t>
            </w:r>
          </w:p>
        </w:tc>
        <w:tc>
          <w:tcPr>
            <w:tcW w:w="1902" w:type="dxa"/>
          </w:tcPr>
          <w:p w14:paraId="570F1DE5" w14:textId="43183D1D" w:rsidR="007845D2" w:rsidRPr="00AD02AE" w:rsidRDefault="007845D2" w:rsidP="00D22D39">
            <w:pPr>
              <w:jc w:val="both"/>
              <w:rPr>
                <w:rFonts w:ascii="Book Antiqua" w:hAnsi="Book Antiqua" w:cs="Times New Roman"/>
                <w:sz w:val="20"/>
                <w:szCs w:val="20"/>
                <w:lang w:val="da-DK"/>
              </w:rPr>
            </w:pPr>
            <w:r w:rsidRPr="00AD02AE">
              <w:rPr>
                <w:rFonts w:ascii="Book Antiqua" w:hAnsi="Book Antiqua" w:cs="Times New Roman"/>
                <w:sz w:val="20"/>
                <w:szCs w:val="20"/>
                <w:lang w:val="da-DK"/>
              </w:rPr>
              <w:t>Badan Pengelola Investasi Danantara dibentuk sebagai pengelola utama aset BUMN</w:t>
            </w:r>
          </w:p>
        </w:tc>
        <w:tc>
          <w:tcPr>
            <w:tcW w:w="2320" w:type="dxa"/>
          </w:tcPr>
          <w:p w14:paraId="79FAB7EC" w14:textId="151DCBAB" w:rsidR="007845D2" w:rsidRPr="00AD02AE" w:rsidRDefault="007845D2" w:rsidP="00D22D39">
            <w:pPr>
              <w:jc w:val="both"/>
              <w:rPr>
                <w:rFonts w:ascii="Book Antiqua" w:hAnsi="Book Antiqua" w:cs="Times New Roman"/>
                <w:sz w:val="20"/>
                <w:szCs w:val="20"/>
                <w:lang w:val="da-DK"/>
              </w:rPr>
            </w:pPr>
            <w:r w:rsidRPr="00AD02AE">
              <w:rPr>
                <w:rFonts w:ascii="Book Antiqua" w:hAnsi="Book Antiqua" w:cs="Times New Roman"/>
                <w:sz w:val="20"/>
                <w:szCs w:val="20"/>
                <w:lang w:val="da-DK"/>
              </w:rPr>
              <w:t>Pengelolaan aset BUMN secara keseluruhan terpusat oleh BPI Danantara</w:t>
            </w:r>
          </w:p>
        </w:tc>
      </w:tr>
      <w:tr w:rsidR="00783905" w:rsidRPr="00103A30" w14:paraId="3D82F128" w14:textId="77777777" w:rsidTr="00AD02AE">
        <w:tc>
          <w:tcPr>
            <w:tcW w:w="801" w:type="dxa"/>
          </w:tcPr>
          <w:p w14:paraId="29A72338" w14:textId="66612C25" w:rsidR="00783905" w:rsidRPr="00AD02AE" w:rsidRDefault="00695E01" w:rsidP="00783905">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t>3</w:t>
            </w:r>
            <w:r w:rsidR="00783905" w:rsidRPr="00AD02AE">
              <w:rPr>
                <w:rFonts w:ascii="Book Antiqua" w:hAnsi="Book Antiqua" w:cs="Times New Roman"/>
                <w:b/>
                <w:bCs/>
                <w:sz w:val="20"/>
                <w:szCs w:val="20"/>
                <w:lang w:val="da-DK"/>
              </w:rPr>
              <w:t>.</w:t>
            </w:r>
          </w:p>
        </w:tc>
        <w:tc>
          <w:tcPr>
            <w:tcW w:w="1903" w:type="dxa"/>
          </w:tcPr>
          <w:p w14:paraId="0BFEF290" w14:textId="65A1F0F5" w:rsidR="00783905" w:rsidRPr="00AD02AE" w:rsidRDefault="00783905"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Pendifinisian Kekayaan BUMN dan Kekayaan Negara</w:t>
            </w:r>
          </w:p>
        </w:tc>
        <w:tc>
          <w:tcPr>
            <w:tcW w:w="1902" w:type="dxa"/>
          </w:tcPr>
          <w:p w14:paraId="4EAC4246" w14:textId="069EA3FF" w:rsidR="00783905" w:rsidRPr="00AD02AE" w:rsidRDefault="00783905"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 xml:space="preserve">Pasal 2 UU No. 17 Tahun 2003 tentang keuangan negara menyebutkan bahwa kekayaan negara meliputi salah satunya termasuk kekayaan negara yang dipisahkan </w:t>
            </w:r>
            <w:r w:rsidRPr="00AD02AE">
              <w:rPr>
                <w:rFonts w:ascii="Book Antiqua" w:hAnsi="Book Antiqua" w:cs="Times New Roman"/>
                <w:sz w:val="20"/>
                <w:szCs w:val="20"/>
                <w:lang w:val="da-DK"/>
              </w:rPr>
              <w:lastRenderedPageBreak/>
              <w:t>pada perusahaan negara</w:t>
            </w:r>
          </w:p>
        </w:tc>
        <w:tc>
          <w:tcPr>
            <w:tcW w:w="1902" w:type="dxa"/>
          </w:tcPr>
          <w:p w14:paraId="4177479A" w14:textId="689800AB" w:rsidR="00783905" w:rsidRPr="00AD02AE" w:rsidRDefault="00783905"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lastRenderedPageBreak/>
              <w:t xml:space="preserve">Pasal 4 menyatakan bahwa penyertaan modal negara pada BUMN maupun perubahan, merupakan kekayaan BUMN dan menjadi </w:t>
            </w:r>
            <w:r w:rsidRPr="00AD02AE">
              <w:rPr>
                <w:rFonts w:ascii="Book Antiqua" w:hAnsi="Book Antiqua" w:cs="Times New Roman"/>
                <w:sz w:val="20"/>
                <w:szCs w:val="20"/>
                <w:lang w:val="da-DK"/>
              </w:rPr>
              <w:lastRenderedPageBreak/>
              <w:t>tanggung jawab BUMN.</w:t>
            </w:r>
          </w:p>
        </w:tc>
        <w:tc>
          <w:tcPr>
            <w:tcW w:w="2320" w:type="dxa"/>
          </w:tcPr>
          <w:p w14:paraId="1802C66D" w14:textId="626DDA12" w:rsidR="00783905" w:rsidRPr="00AD02AE" w:rsidRDefault="00783905"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lastRenderedPageBreak/>
              <w:t xml:space="preserve">Ketentuan lain mengenai pengelolaan keuangan negara atas kekayaan negara yang dipisahkan pada BUMN yang diatur dalam pertauran perundang-undangan lainnya tidak lagi berlaku sepanjang telah diatur khusus </w:t>
            </w:r>
            <w:r w:rsidRPr="00AD02AE">
              <w:rPr>
                <w:rFonts w:ascii="Book Antiqua" w:hAnsi="Book Antiqua" w:cs="Times New Roman"/>
                <w:sz w:val="20"/>
                <w:szCs w:val="20"/>
                <w:lang w:val="da-DK"/>
              </w:rPr>
              <w:lastRenderedPageBreak/>
              <w:t>dalam undang-undang ini</w:t>
            </w:r>
          </w:p>
        </w:tc>
      </w:tr>
      <w:tr w:rsidR="00783905" w:rsidRPr="00103A30" w14:paraId="67978597" w14:textId="77777777" w:rsidTr="00AD02AE">
        <w:tc>
          <w:tcPr>
            <w:tcW w:w="801" w:type="dxa"/>
          </w:tcPr>
          <w:p w14:paraId="4DF38754" w14:textId="20ED68EC" w:rsidR="00783905" w:rsidRPr="00AD02AE" w:rsidRDefault="00695E01" w:rsidP="00783905">
            <w:pPr>
              <w:jc w:val="center"/>
              <w:rPr>
                <w:rFonts w:ascii="Book Antiqua" w:hAnsi="Book Antiqua" w:cs="Times New Roman"/>
                <w:b/>
                <w:bCs/>
                <w:sz w:val="20"/>
                <w:szCs w:val="20"/>
                <w:lang w:val="da-DK"/>
              </w:rPr>
            </w:pPr>
            <w:r w:rsidRPr="00AD02AE">
              <w:rPr>
                <w:rFonts w:ascii="Book Antiqua" w:hAnsi="Book Antiqua" w:cs="Times New Roman"/>
                <w:b/>
                <w:bCs/>
                <w:sz w:val="20"/>
                <w:szCs w:val="20"/>
                <w:lang w:val="da-DK"/>
              </w:rPr>
              <w:lastRenderedPageBreak/>
              <w:t>4</w:t>
            </w:r>
            <w:r w:rsidR="00783905" w:rsidRPr="00AD02AE">
              <w:rPr>
                <w:rFonts w:ascii="Book Antiqua" w:hAnsi="Book Antiqua" w:cs="Times New Roman"/>
                <w:b/>
                <w:bCs/>
                <w:sz w:val="20"/>
                <w:szCs w:val="20"/>
                <w:lang w:val="da-DK"/>
              </w:rPr>
              <w:t>.</w:t>
            </w:r>
          </w:p>
        </w:tc>
        <w:tc>
          <w:tcPr>
            <w:tcW w:w="1903" w:type="dxa"/>
          </w:tcPr>
          <w:p w14:paraId="129B8818" w14:textId="0C3DE615"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Eksistensi Laba dan Rugi</w:t>
            </w:r>
          </w:p>
        </w:tc>
        <w:tc>
          <w:tcPr>
            <w:tcW w:w="1902" w:type="dxa"/>
          </w:tcPr>
          <w:p w14:paraId="73C0CDBE" w14:textId="36B3DDE6"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 xml:space="preserve">melalui penjelasan Pasal 2 dan 3  UU 31 Tahun 1999 tentang </w:t>
            </w:r>
            <w:r w:rsidRPr="00103A30">
              <w:rPr>
                <w:rFonts w:ascii="Book Antiqua" w:hAnsi="Book Antiqua" w:cs="Times New Roman"/>
                <w:sz w:val="20"/>
                <w:szCs w:val="20"/>
                <w:lang w:val="fi-FI"/>
              </w:rPr>
              <w:t>Pemberantasan Tindak Pidana Korupsi</w:t>
            </w:r>
            <w:r w:rsidR="00CC343F" w:rsidRPr="00103A30">
              <w:rPr>
                <w:rFonts w:ascii="Book Antiqua" w:hAnsi="Book Antiqua" w:cs="Times New Roman"/>
                <w:sz w:val="20"/>
                <w:szCs w:val="20"/>
                <w:lang w:val="fi-FI"/>
              </w:rPr>
              <w:t xml:space="preserve">, </w:t>
            </w:r>
            <w:r w:rsidRPr="00AD02AE">
              <w:rPr>
                <w:rFonts w:ascii="Book Antiqua" w:hAnsi="Book Antiqua" w:cs="Times New Roman"/>
                <w:sz w:val="20"/>
                <w:szCs w:val="20"/>
                <w:lang w:val="da-DK"/>
              </w:rPr>
              <w:t>tercantum penjelasan mengenai kerugian BUMN merupakan kerugian negara</w:t>
            </w:r>
          </w:p>
        </w:tc>
        <w:tc>
          <w:tcPr>
            <w:tcW w:w="1902" w:type="dxa"/>
          </w:tcPr>
          <w:p w14:paraId="46A1E7BC" w14:textId="69AC3AF5"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pasal 4B menyebutkan bahwa segala keuntungan maupun kerugian yang dialami oleh BUMN merupakan keuntungan dan kerugian BUMN itu sendiri</w:t>
            </w:r>
          </w:p>
        </w:tc>
        <w:tc>
          <w:tcPr>
            <w:tcW w:w="2320" w:type="dxa"/>
          </w:tcPr>
          <w:p w14:paraId="4C43FEEC" w14:textId="75D64B6B"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Konsep keuntungan dan kerugian BUMN telah dipisahkan dari keuntungan dan kerugian negara</w:t>
            </w:r>
          </w:p>
        </w:tc>
      </w:tr>
      <w:tr w:rsidR="00783905" w:rsidRPr="00103A30" w14:paraId="771DA807" w14:textId="77777777" w:rsidTr="00AD02AE">
        <w:tc>
          <w:tcPr>
            <w:tcW w:w="801" w:type="dxa"/>
          </w:tcPr>
          <w:p w14:paraId="27D42707" w14:textId="5AB4EAF2" w:rsidR="00783905" w:rsidRPr="00AD02AE" w:rsidRDefault="00695E01" w:rsidP="00783905">
            <w:pPr>
              <w:jc w:val="both"/>
              <w:rPr>
                <w:rFonts w:ascii="Book Antiqua" w:hAnsi="Book Antiqua" w:cs="Times New Roman"/>
                <w:b/>
                <w:bCs/>
                <w:sz w:val="20"/>
                <w:szCs w:val="20"/>
                <w:lang w:val="da-DK"/>
              </w:rPr>
            </w:pPr>
            <w:r w:rsidRPr="00AD02AE">
              <w:rPr>
                <w:rFonts w:ascii="Book Antiqua" w:hAnsi="Book Antiqua" w:cs="Times New Roman"/>
                <w:b/>
                <w:bCs/>
                <w:sz w:val="20"/>
                <w:szCs w:val="20"/>
                <w:lang w:val="da-DK"/>
              </w:rPr>
              <w:t>5</w:t>
            </w:r>
            <w:r w:rsidR="00783905" w:rsidRPr="00AD02AE">
              <w:rPr>
                <w:rFonts w:ascii="Book Antiqua" w:hAnsi="Book Antiqua" w:cs="Times New Roman"/>
                <w:b/>
                <w:bCs/>
                <w:sz w:val="20"/>
                <w:szCs w:val="20"/>
                <w:lang w:val="da-DK"/>
              </w:rPr>
              <w:t>.</w:t>
            </w:r>
          </w:p>
        </w:tc>
        <w:tc>
          <w:tcPr>
            <w:tcW w:w="1903" w:type="dxa"/>
          </w:tcPr>
          <w:p w14:paraId="009764C3" w14:textId="67E50D8F"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Penataan Organ BUMN</w:t>
            </w:r>
          </w:p>
        </w:tc>
        <w:tc>
          <w:tcPr>
            <w:tcW w:w="1902" w:type="dxa"/>
          </w:tcPr>
          <w:p w14:paraId="4B013108" w14:textId="27F8DB62"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 xml:space="preserve">Pada penjelasan Pasal 2 UU No. 28 Tahun 1999 tentang </w:t>
            </w:r>
            <w:r w:rsidRPr="00103A30">
              <w:rPr>
                <w:rFonts w:ascii="Book Antiqua" w:hAnsi="Book Antiqua" w:cs="Times New Roman"/>
                <w:sz w:val="20"/>
                <w:szCs w:val="20"/>
                <w:lang w:val="da-DK"/>
              </w:rPr>
              <w:t xml:space="preserve">Penyelenggara Negara yang Bersih dan Bebas dari Korupsi, Kolusi dan Nepotisme, menyebutkan bahwa </w:t>
            </w:r>
            <w:r w:rsidRPr="00AD02AE">
              <w:rPr>
                <w:rFonts w:ascii="Book Antiqua" w:hAnsi="Book Antiqua" w:cs="Times New Roman"/>
                <w:sz w:val="20"/>
                <w:szCs w:val="20"/>
                <w:lang w:val="da-DK"/>
              </w:rPr>
              <w:t>organ BUMN merupakan penyelenggara negara</w:t>
            </w:r>
          </w:p>
        </w:tc>
        <w:tc>
          <w:tcPr>
            <w:tcW w:w="1902" w:type="dxa"/>
          </w:tcPr>
          <w:p w14:paraId="07C2CF7C" w14:textId="06DB5906"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Pasal 3X menyebutkan organ BUMN bukan lagi merupakan penyelenggara negara</w:t>
            </w:r>
          </w:p>
        </w:tc>
        <w:tc>
          <w:tcPr>
            <w:tcW w:w="2320" w:type="dxa"/>
          </w:tcPr>
          <w:p w14:paraId="579E833D" w14:textId="1D1CBB3C"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 xml:space="preserve">Status organ BUMN sebagai pengelola </w:t>
            </w:r>
            <w:r w:rsidR="00FA30A9" w:rsidRPr="00AD02AE">
              <w:rPr>
                <w:rFonts w:ascii="Book Antiqua" w:hAnsi="Book Antiqua" w:cs="Times New Roman"/>
                <w:sz w:val="20"/>
                <w:szCs w:val="20"/>
                <w:lang w:val="da-DK"/>
              </w:rPr>
              <w:t>bukan lagi sebagai</w:t>
            </w:r>
            <w:r w:rsidRPr="00AD02AE">
              <w:rPr>
                <w:rFonts w:ascii="Book Antiqua" w:hAnsi="Book Antiqua" w:cs="Times New Roman"/>
                <w:sz w:val="20"/>
                <w:szCs w:val="20"/>
                <w:lang w:val="da-DK"/>
              </w:rPr>
              <w:t xml:space="preserve"> penyelenggara negara </w:t>
            </w:r>
          </w:p>
        </w:tc>
      </w:tr>
      <w:tr w:rsidR="00783905" w:rsidRPr="00103A30" w14:paraId="7F3DAAC8" w14:textId="77777777" w:rsidTr="00AD02AE">
        <w:tc>
          <w:tcPr>
            <w:tcW w:w="801" w:type="dxa"/>
          </w:tcPr>
          <w:p w14:paraId="38978FBA" w14:textId="27140A28" w:rsidR="00783905" w:rsidRPr="00AD02AE" w:rsidRDefault="00695E01" w:rsidP="00783905">
            <w:pPr>
              <w:jc w:val="both"/>
              <w:rPr>
                <w:rFonts w:ascii="Book Antiqua" w:hAnsi="Book Antiqua" w:cs="Times New Roman"/>
                <w:b/>
                <w:bCs/>
                <w:sz w:val="20"/>
                <w:szCs w:val="20"/>
                <w:lang w:val="da-DK"/>
              </w:rPr>
            </w:pPr>
            <w:r w:rsidRPr="00AD02AE">
              <w:rPr>
                <w:rFonts w:ascii="Book Antiqua" w:hAnsi="Book Antiqua" w:cs="Times New Roman"/>
                <w:b/>
                <w:bCs/>
                <w:sz w:val="20"/>
                <w:szCs w:val="20"/>
                <w:lang w:val="da-DK"/>
              </w:rPr>
              <w:t>6</w:t>
            </w:r>
            <w:r w:rsidR="00783905" w:rsidRPr="00AD02AE">
              <w:rPr>
                <w:rFonts w:ascii="Book Antiqua" w:hAnsi="Book Antiqua" w:cs="Times New Roman"/>
                <w:b/>
                <w:bCs/>
                <w:sz w:val="20"/>
                <w:szCs w:val="20"/>
                <w:lang w:val="da-DK"/>
              </w:rPr>
              <w:t>.</w:t>
            </w:r>
          </w:p>
        </w:tc>
        <w:tc>
          <w:tcPr>
            <w:tcW w:w="1903" w:type="dxa"/>
          </w:tcPr>
          <w:p w14:paraId="2971B45B" w14:textId="04D161E8"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Pengawasan dan pemeriksaan</w:t>
            </w:r>
          </w:p>
        </w:tc>
        <w:tc>
          <w:tcPr>
            <w:tcW w:w="1902" w:type="dxa"/>
          </w:tcPr>
          <w:p w14:paraId="0A20D31D" w14:textId="34E4E507"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UU No. 15 Tahun 2006 tentang Badan Pemeriksa Keuangan (BPK), menyebutkan BPK memiliki kewenangan untuk melakukan pemeriksaan terhadap BUMN yang kemudian dilaporkan kepada DPR</w:t>
            </w:r>
          </w:p>
        </w:tc>
        <w:tc>
          <w:tcPr>
            <w:tcW w:w="1902" w:type="dxa"/>
          </w:tcPr>
          <w:p w14:paraId="284FC106" w14:textId="6DEA760F"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Pemeriksaan terhadap BUMN oleh BPK dilakukan dengan tujuan tertentu atas permintaan DPR</w:t>
            </w:r>
          </w:p>
        </w:tc>
        <w:tc>
          <w:tcPr>
            <w:tcW w:w="2320" w:type="dxa"/>
          </w:tcPr>
          <w:p w14:paraId="16ACD395" w14:textId="6E229332" w:rsidR="00783905" w:rsidRPr="00AD02AE" w:rsidRDefault="00695E01" w:rsidP="00783905">
            <w:pPr>
              <w:jc w:val="both"/>
              <w:rPr>
                <w:rFonts w:ascii="Book Antiqua" w:hAnsi="Book Antiqua" w:cs="Times New Roman"/>
                <w:sz w:val="20"/>
                <w:szCs w:val="20"/>
                <w:lang w:val="da-DK"/>
              </w:rPr>
            </w:pPr>
            <w:r w:rsidRPr="00AD02AE">
              <w:rPr>
                <w:rFonts w:ascii="Book Antiqua" w:hAnsi="Book Antiqua" w:cs="Times New Roman"/>
                <w:sz w:val="20"/>
                <w:szCs w:val="20"/>
                <w:lang w:val="da-DK"/>
              </w:rPr>
              <w:t>Kewenangan pemeriksaan terhadap BUMN oleh BPK didasari oleh permintaan DPR</w:t>
            </w:r>
          </w:p>
        </w:tc>
      </w:tr>
    </w:tbl>
    <w:p w14:paraId="6CF13148" w14:textId="25E5839D" w:rsidR="00FC1015" w:rsidRPr="00AD02AE" w:rsidRDefault="00FC1015" w:rsidP="00C451B2">
      <w:pPr>
        <w:spacing w:after="0" w:line="240" w:lineRule="auto"/>
        <w:ind w:firstLine="720"/>
        <w:jc w:val="both"/>
        <w:rPr>
          <w:rFonts w:ascii="Book Antiqua" w:hAnsi="Book Antiqua" w:cs="Times New Roman"/>
          <w:b/>
          <w:bCs/>
          <w:sz w:val="20"/>
          <w:szCs w:val="20"/>
          <w:lang w:val="da-DK"/>
        </w:rPr>
      </w:pPr>
      <w:r w:rsidRPr="00AD02AE">
        <w:rPr>
          <w:rFonts w:ascii="Book Antiqua" w:hAnsi="Book Antiqua" w:cs="Times New Roman"/>
          <w:b/>
          <w:bCs/>
          <w:sz w:val="20"/>
          <w:szCs w:val="20"/>
          <w:lang w:val="da-DK"/>
        </w:rPr>
        <w:t>Sumber: diolah melalui perbandingan undang-undang</w:t>
      </w:r>
    </w:p>
    <w:p w14:paraId="060BDE29" w14:textId="77777777" w:rsidR="00AD02AE" w:rsidRDefault="00AD02AE" w:rsidP="00AD02AE">
      <w:pPr>
        <w:spacing w:after="120" w:line="240" w:lineRule="auto"/>
        <w:ind w:firstLine="720"/>
        <w:jc w:val="both"/>
        <w:rPr>
          <w:rFonts w:ascii="Book Antiqua" w:hAnsi="Book Antiqua" w:cs="Times New Roman"/>
          <w:sz w:val="22"/>
          <w:szCs w:val="22"/>
          <w:lang w:val="da-DK"/>
        </w:rPr>
      </w:pPr>
    </w:p>
    <w:p w14:paraId="714BAE8E" w14:textId="4206482E" w:rsidR="00002D44" w:rsidRPr="00AD02AE" w:rsidRDefault="00FA30A9"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P</w:t>
      </w:r>
      <w:r w:rsidR="00002D44" w:rsidRPr="00AD02AE">
        <w:rPr>
          <w:rFonts w:ascii="Book Antiqua" w:hAnsi="Book Antiqua" w:cs="Times New Roman"/>
          <w:sz w:val="22"/>
          <w:szCs w:val="22"/>
          <w:lang w:val="da-DK"/>
        </w:rPr>
        <w:t xml:space="preserve">erubahan regulasi tersebut tidak sepenuhnya menghapus wajah publik BUMN. Kewajiban PSO tetap dipertahankan bahkan diperkuat dalam kerangka kebijakan nasional, dengan alasan bahwa BUMN memiliki tanggung jawab sosial sebagai agen pembangunan. </w:t>
      </w:r>
      <w:r w:rsidR="00074449" w:rsidRPr="00AD02AE">
        <w:rPr>
          <w:rFonts w:ascii="Book Antiqua" w:hAnsi="Book Antiqua" w:cs="Times New Roman"/>
          <w:sz w:val="22"/>
          <w:szCs w:val="22"/>
          <w:lang w:val="da-DK"/>
        </w:rPr>
        <w:t>Hal ini menimbulkan dilema kompleks yang disebabkan oleh</w:t>
      </w:r>
      <w:r w:rsidR="00002D44" w:rsidRPr="00AD02AE">
        <w:rPr>
          <w:rFonts w:ascii="Book Antiqua" w:hAnsi="Book Antiqua" w:cs="Times New Roman"/>
          <w:sz w:val="22"/>
          <w:szCs w:val="22"/>
          <w:lang w:val="da-DK"/>
        </w:rPr>
        <w:t xml:space="preserve"> perluasan ruang kemandirian bisnis berjalan beriringan dengan beban kewajiban publik yang </w:t>
      </w:r>
      <w:r w:rsidR="00002D44" w:rsidRPr="00AD02AE">
        <w:rPr>
          <w:rFonts w:ascii="Book Antiqua" w:hAnsi="Book Antiqua" w:cs="Times New Roman"/>
          <w:sz w:val="22"/>
          <w:szCs w:val="22"/>
          <w:lang w:val="da-DK"/>
        </w:rPr>
        <w:lastRenderedPageBreak/>
        <w:t xml:space="preserve">tidak berkurang. Walaupun secara </w:t>
      </w:r>
      <w:r w:rsidR="0073299B" w:rsidRPr="00AD02AE">
        <w:rPr>
          <w:rFonts w:ascii="Book Antiqua" w:hAnsi="Book Antiqua" w:cs="Times New Roman"/>
          <w:sz w:val="22"/>
          <w:szCs w:val="22"/>
          <w:lang w:val="da-DK"/>
        </w:rPr>
        <w:t>melalui UU No. 1 Tahun 2025</w:t>
      </w:r>
      <w:r w:rsidR="00002D44" w:rsidRPr="00AD02AE">
        <w:rPr>
          <w:rFonts w:ascii="Book Antiqua" w:hAnsi="Book Antiqua" w:cs="Times New Roman"/>
          <w:sz w:val="22"/>
          <w:szCs w:val="22"/>
          <w:lang w:val="da-DK"/>
        </w:rPr>
        <w:t xml:space="preserve"> BUMN diberi keleluasaan untuk bersaing layaknya korporasi swasta,</w:t>
      </w:r>
      <w:r w:rsidR="002212AF" w:rsidRPr="00AD02AE">
        <w:rPr>
          <w:rFonts w:ascii="Book Antiqua" w:hAnsi="Book Antiqua" w:cs="Times New Roman"/>
          <w:sz w:val="22"/>
          <w:szCs w:val="22"/>
          <w:lang w:val="da-DK"/>
        </w:rPr>
        <w:t xml:space="preserve"> namun</w:t>
      </w:r>
      <w:r w:rsidR="00002D44" w:rsidRPr="00AD02AE">
        <w:rPr>
          <w:rFonts w:ascii="Book Antiqua" w:hAnsi="Book Antiqua" w:cs="Times New Roman"/>
          <w:sz w:val="22"/>
          <w:szCs w:val="22"/>
          <w:lang w:val="da-DK"/>
        </w:rPr>
        <w:t xml:space="preserve"> dalam praktiknya mereka tetap harus melaksanakan fungsi sosial yang sering kali mengurangi ruang profitabilitas. Dengan demikian, reformasi hukum yang seharusnya mengarah pada penguatan kemandirian justru berpotensi memperlebar jurang antara tujuan bisnis dan tujuan sosial.</w:t>
      </w:r>
    </w:p>
    <w:p w14:paraId="56525D57" w14:textId="34BA7B97" w:rsidR="00002D44" w:rsidRPr="00AD02AE" w:rsidRDefault="008704EB"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M</w:t>
      </w:r>
      <w:r w:rsidR="00C66399" w:rsidRPr="00AD02AE">
        <w:rPr>
          <w:rFonts w:ascii="Book Antiqua" w:hAnsi="Book Antiqua" w:cs="Times New Roman"/>
          <w:sz w:val="22"/>
          <w:szCs w:val="22"/>
          <w:lang w:val="da-DK"/>
        </w:rPr>
        <w:t xml:space="preserve">uncul keraguan </w:t>
      </w:r>
      <w:r w:rsidR="002212AF" w:rsidRPr="00AD02AE">
        <w:rPr>
          <w:rFonts w:ascii="Book Antiqua" w:hAnsi="Book Antiqua" w:cs="Times New Roman"/>
          <w:sz w:val="22"/>
          <w:szCs w:val="22"/>
          <w:lang w:val="da-DK"/>
        </w:rPr>
        <w:t xml:space="preserve">baru </w:t>
      </w:r>
      <w:r w:rsidR="00C66399" w:rsidRPr="00AD02AE">
        <w:rPr>
          <w:rFonts w:ascii="Book Antiqua" w:hAnsi="Book Antiqua" w:cs="Times New Roman"/>
          <w:sz w:val="22"/>
          <w:szCs w:val="22"/>
          <w:lang w:val="da-DK"/>
        </w:rPr>
        <w:t>mengenai kemandirian BUMN, yang secara bersamaan</w:t>
      </w:r>
      <w:r w:rsidR="006D08CC" w:rsidRPr="00AD02AE">
        <w:rPr>
          <w:rFonts w:ascii="Book Antiqua" w:hAnsi="Book Antiqua" w:cs="Times New Roman"/>
          <w:sz w:val="22"/>
          <w:szCs w:val="22"/>
          <w:lang w:val="da-DK"/>
        </w:rPr>
        <w:t xml:space="preserve"> dirasa</w:t>
      </w:r>
      <w:r w:rsidR="00C66399" w:rsidRPr="00AD02AE">
        <w:rPr>
          <w:rFonts w:ascii="Book Antiqua" w:hAnsi="Book Antiqua" w:cs="Times New Roman"/>
          <w:sz w:val="22"/>
          <w:szCs w:val="22"/>
          <w:lang w:val="da-DK"/>
        </w:rPr>
        <w:t xml:space="preserve"> tetap terjebak dalam kewajiban ganda yang justru semakin rumit. Adapun s</w:t>
      </w:r>
      <w:r w:rsidR="00002D44" w:rsidRPr="00AD02AE">
        <w:rPr>
          <w:rFonts w:ascii="Book Antiqua" w:hAnsi="Book Antiqua" w:cs="Times New Roman"/>
          <w:sz w:val="22"/>
          <w:szCs w:val="22"/>
          <w:lang w:val="da-DK"/>
        </w:rPr>
        <w:t xml:space="preserve">ecara formal, UU Nomor 1 Tahun 2025 memberi </w:t>
      </w:r>
      <w:r w:rsidR="003D2B9A" w:rsidRPr="00AD02AE">
        <w:rPr>
          <w:rFonts w:ascii="Book Antiqua" w:hAnsi="Book Antiqua" w:cs="Times New Roman"/>
          <w:sz w:val="22"/>
          <w:szCs w:val="22"/>
          <w:lang w:val="da-DK"/>
        </w:rPr>
        <w:t>p</w:t>
      </w:r>
      <w:r w:rsidR="00002D44" w:rsidRPr="00AD02AE">
        <w:rPr>
          <w:rFonts w:ascii="Book Antiqua" w:hAnsi="Book Antiqua" w:cs="Times New Roman"/>
          <w:sz w:val="22"/>
          <w:szCs w:val="22"/>
          <w:lang w:val="da-DK"/>
        </w:rPr>
        <w:t>ondasi kuat bagi BUMN untuk bertindak sebagai korporasi yang otonom, baik melalui pembatasan intervensi politik maupun penguatan organ perusahaan. Akan tetapi, keberadaan PSO yang melekat secara struktural membatasi ruang kebebasan tersebut. Bahkan, dalam kondisi tertentu PSO dapat menggerus keuntungan, menimbulkan kerugian, dan memperlemah daya saing di pasar. Ketika dilema ini tidak diimbangi dengan mekanisme kompensasi yang adil dan akuntabel dari pemerintah, maka kemandirian yang dijanjikan regulasi baru bersifat semu. Artinya, kemandirian yang diatur dalam norma hukum tidak terwujud secara nyata dalam praktik korporasi.</w:t>
      </w:r>
    </w:p>
    <w:p w14:paraId="6859E187" w14:textId="6871360A" w:rsidR="008704EB" w:rsidRPr="00AD02AE" w:rsidRDefault="008704EB"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Berdasarkan perspektif ekonomi politik</w:t>
      </w:r>
      <w:r w:rsidR="006A3D79" w:rsidRPr="00AD02AE">
        <w:rPr>
          <w:rFonts w:ascii="Book Antiqua" w:hAnsi="Book Antiqua" w:cs="Times New Roman"/>
          <w:sz w:val="22"/>
          <w:szCs w:val="22"/>
          <w:lang w:val="da-DK"/>
        </w:rPr>
        <w:t xml:space="preserve"> p</w:t>
      </w:r>
      <w:r w:rsidRPr="00AD02AE">
        <w:rPr>
          <w:rFonts w:ascii="Book Antiqua" w:hAnsi="Book Antiqua" w:cs="Times New Roman"/>
          <w:sz w:val="22"/>
          <w:szCs w:val="22"/>
          <w:lang w:val="da-DK"/>
        </w:rPr>
        <w:t xml:space="preserve">emberian hak monopoli tertentu kepada BUMN dalam melaksanakan PSO sebagaimana tercantum pada pasal 86M </w:t>
      </w:r>
      <w:r w:rsidR="006A3D79" w:rsidRPr="00AD02AE">
        <w:rPr>
          <w:rFonts w:ascii="Book Antiqua" w:hAnsi="Book Antiqua" w:cs="Times New Roman"/>
          <w:sz w:val="22"/>
          <w:szCs w:val="22"/>
          <w:lang w:val="da-DK"/>
        </w:rPr>
        <w:t xml:space="preserve">juga </w:t>
      </w:r>
      <w:r w:rsidRPr="00AD02AE">
        <w:rPr>
          <w:rFonts w:ascii="Book Antiqua" w:hAnsi="Book Antiqua" w:cs="Times New Roman"/>
          <w:sz w:val="22"/>
          <w:szCs w:val="22"/>
          <w:lang w:val="da-DK"/>
        </w:rPr>
        <w:t>berpotensi menimbulkan distorsi pasar yang kontraproduktif terhadap prinsip persaingan usaha yang sehat. Swasta sering kali merasa dirugikan karena BUMN memperoleh keistimewaan yang tidak mereka nikmati, meskipun di sisi lain BUMN juga menanggung beban PSO. Ketidakjelasan ini menimbulkan ambivalensi, apakah posisi dominan BUMN merupakan keunggulan kompetitif atau justru beban yang mengurangi efisiensi.</w:t>
      </w:r>
      <w:r w:rsidRPr="00AD02AE">
        <w:rPr>
          <w:rStyle w:val="ReferensiCatatanKaki"/>
          <w:rFonts w:ascii="Book Antiqua" w:hAnsi="Book Antiqua" w:cs="Times New Roman"/>
          <w:sz w:val="22"/>
          <w:szCs w:val="22"/>
          <w:lang w:val="da-DK"/>
        </w:rPr>
        <w:footnoteReference w:id="13"/>
      </w:r>
      <w:r w:rsidRPr="00AD02AE">
        <w:rPr>
          <w:rFonts w:ascii="Book Antiqua" w:hAnsi="Book Antiqua" w:cs="Times New Roman"/>
          <w:sz w:val="22"/>
          <w:szCs w:val="22"/>
          <w:lang w:val="da-DK"/>
        </w:rPr>
        <w:t xml:space="preserve"> Dengan demikian, perdebatan mengenai dualitas BUMN bukan hanya isu hukum, tetapi juga persoalan tata kelola ekonomi yang membutuhkan harmonisasi lintas sektor.</w:t>
      </w:r>
    </w:p>
    <w:p w14:paraId="6537CE6D" w14:textId="1BBD8C68" w:rsidR="00002D44" w:rsidRPr="00AD02AE" w:rsidRDefault="00002D44"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Implikasi dari kondisi ini cukup serius. BUMN dapat kehilangan posisi strategis sebagai motor penggerak ekonomi jika terus-menerus dipaksa menjalankan fungsi sosial tanpa dukungan fiskal yang memadai. Di sisi lain, jika kemandirian bisnis dilepaskan sepenuhnya tanpa kontrol, BUMN dapat berubah menjadi korporasi privat biasa yang tidak lagi memiliki kepekaan terhadap mandat sosial. Ketegangan ini mencerminkan kesulitan mendasar dalam mendesain model hukum BUMN</w:t>
      </w:r>
      <w:r w:rsidR="009047B9" w:rsidRPr="00AD02AE">
        <w:rPr>
          <w:rFonts w:ascii="Book Antiqua" w:hAnsi="Book Antiqua" w:cs="Times New Roman"/>
          <w:sz w:val="22"/>
          <w:szCs w:val="22"/>
          <w:lang w:val="da-DK"/>
        </w:rPr>
        <w:t xml:space="preserve">, </w:t>
      </w:r>
      <w:r w:rsidRPr="00AD02AE">
        <w:rPr>
          <w:rFonts w:ascii="Book Antiqua" w:hAnsi="Book Antiqua" w:cs="Times New Roman"/>
          <w:sz w:val="22"/>
          <w:szCs w:val="22"/>
          <w:lang w:val="da-DK"/>
        </w:rPr>
        <w:t xml:space="preserve">bagaimana menyeimbangkan kebutuhan efisiensi bisnis dengan tanggung jawab pelayanan publik. Dengan kata lain, </w:t>
      </w:r>
      <w:r w:rsidR="006D08CC" w:rsidRPr="00AD02AE">
        <w:rPr>
          <w:rFonts w:ascii="Book Antiqua" w:hAnsi="Book Antiqua" w:cs="Times New Roman"/>
          <w:sz w:val="22"/>
          <w:szCs w:val="22"/>
          <w:lang w:val="da-DK"/>
        </w:rPr>
        <w:t>problematika mengenai</w:t>
      </w:r>
      <w:r w:rsidRPr="00AD02AE">
        <w:rPr>
          <w:rFonts w:ascii="Book Antiqua" w:hAnsi="Book Antiqua" w:cs="Times New Roman"/>
          <w:sz w:val="22"/>
          <w:szCs w:val="22"/>
          <w:lang w:val="da-DK"/>
        </w:rPr>
        <w:t xml:space="preserve"> dualitas tidak hanya</w:t>
      </w:r>
      <w:r w:rsidR="006D08CC" w:rsidRPr="00AD02AE">
        <w:rPr>
          <w:rFonts w:ascii="Book Antiqua" w:hAnsi="Book Antiqua" w:cs="Times New Roman"/>
          <w:sz w:val="22"/>
          <w:szCs w:val="22"/>
          <w:lang w:val="da-DK"/>
        </w:rPr>
        <w:t xml:space="preserve"> menyoroti</w:t>
      </w:r>
      <w:r w:rsidRPr="00AD02AE">
        <w:rPr>
          <w:rFonts w:ascii="Book Antiqua" w:hAnsi="Book Antiqua" w:cs="Times New Roman"/>
          <w:sz w:val="22"/>
          <w:szCs w:val="22"/>
          <w:lang w:val="da-DK"/>
        </w:rPr>
        <w:t xml:space="preserve"> persoalan teknis manajerial, melainkan persoalan konseptual mengenai identitas BUMN itu sendiri.</w:t>
      </w:r>
    </w:p>
    <w:p w14:paraId="60EB2362" w14:textId="2649192E" w:rsidR="007F2741" w:rsidRPr="00AD02AE" w:rsidRDefault="007F2741"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BUMN tidak pernah benar-benar berada dalam posisi netral antara logika bisnis dan logika negara. Selama regulasi masih menyisakan dualisme antara hukum privat dan hukum publik, benturan kepentingan akan terus muncul dalam berbagai bentuk.</w:t>
      </w:r>
      <w:r w:rsidRPr="00AD02AE">
        <w:rPr>
          <w:rStyle w:val="ReferensiCatatanKaki"/>
          <w:rFonts w:ascii="Book Antiqua" w:hAnsi="Book Antiqua" w:cs="Times New Roman"/>
          <w:sz w:val="22"/>
          <w:szCs w:val="22"/>
          <w:lang w:val="da-DK"/>
        </w:rPr>
        <w:footnoteReference w:id="14"/>
      </w:r>
      <w:r w:rsidRPr="00AD02AE">
        <w:rPr>
          <w:rFonts w:ascii="Book Antiqua" w:hAnsi="Book Antiqua" w:cs="Times New Roman"/>
          <w:sz w:val="22"/>
          <w:szCs w:val="22"/>
          <w:lang w:val="da-DK"/>
        </w:rPr>
        <w:t xml:space="preserve"> </w:t>
      </w:r>
      <w:r w:rsidRPr="00AD02AE">
        <w:rPr>
          <w:rFonts w:ascii="Book Antiqua" w:hAnsi="Book Antiqua" w:cs="Times New Roman"/>
          <w:sz w:val="22"/>
          <w:szCs w:val="22"/>
          <w:lang w:val="da-DK"/>
        </w:rPr>
        <w:lastRenderedPageBreak/>
        <w:t>Kemandirian korporasi yang dicanangkan regulasi baru pada akhirnya bersifat semu, karena setiap keputusan bisnis tetap terikat pada kepentingan sosial-politik yang ditentukan oleh pemerintah. Situasi ini memperlihatkan perlunya sinkronisasi regulasi antar-undang-undang agar tidak menimbulkan tumpang tindih, sekaligus memastikan mekanisme kompensasi PSO berjalan adil dan transparan. BUMN akan terus terjebak dalam dilema antara profitabilitas dan kewajiban sosial selama regulasi tidak menempatkan batas yang jelas antara peran sebagai entitas bisnis dan instrumen pelayanan publik.</w:t>
      </w:r>
      <w:r w:rsidRPr="00AD02AE">
        <w:rPr>
          <w:rStyle w:val="ReferensiCatatanKaki"/>
          <w:rFonts w:ascii="Book Antiqua" w:hAnsi="Book Antiqua" w:cs="Times New Roman"/>
          <w:sz w:val="22"/>
          <w:szCs w:val="22"/>
          <w:lang w:val="da-DK"/>
        </w:rPr>
        <w:footnoteReference w:id="15"/>
      </w:r>
      <w:r w:rsidRPr="00AD02AE">
        <w:rPr>
          <w:rFonts w:ascii="Book Antiqua" w:hAnsi="Book Antiqua" w:cs="Times New Roman"/>
          <w:sz w:val="22"/>
          <w:szCs w:val="22"/>
          <w:lang w:val="da-DK"/>
        </w:rPr>
        <w:t xml:space="preserve"> Perlu adanya pendekatan interdisipliner yang menggabungkan hukum korporasi, hukum administrasi negara, dan hukum persaingan usaha untuk merumuskan solusi yang lebih komprehensif. Tanpa langkah ini, BUMN berisiko tetap berada dalam lingkaran konflik kepentingan yang menghambat perannya sebagai penggerak ekonomi sekaligus penyedia layanan publik yang efektif.</w:t>
      </w:r>
    </w:p>
    <w:p w14:paraId="26D14447" w14:textId="56CA2614" w:rsidR="00B83298" w:rsidRPr="00AD02AE" w:rsidRDefault="00B83298" w:rsidP="00AD02AE">
      <w:pPr>
        <w:spacing w:after="120" w:line="240" w:lineRule="auto"/>
        <w:jc w:val="both"/>
        <w:rPr>
          <w:rFonts w:ascii="Book Antiqua" w:hAnsi="Book Antiqua" w:cs="Times New Roman"/>
          <w:sz w:val="22"/>
          <w:szCs w:val="22"/>
          <w:lang w:val="da-DK"/>
        </w:rPr>
      </w:pPr>
    </w:p>
    <w:p w14:paraId="31E8A817" w14:textId="43145A3D" w:rsidR="00D72AA7" w:rsidRPr="00AD02AE" w:rsidRDefault="00D72AA7" w:rsidP="00AD02AE">
      <w:pPr>
        <w:spacing w:after="120" w:line="240" w:lineRule="auto"/>
        <w:jc w:val="both"/>
        <w:rPr>
          <w:rFonts w:ascii="Book Antiqua" w:hAnsi="Book Antiqua" w:cs="Times New Roman"/>
          <w:b/>
          <w:bCs/>
          <w:sz w:val="22"/>
          <w:szCs w:val="22"/>
        </w:rPr>
      </w:pPr>
      <w:r w:rsidRPr="00AD02AE">
        <w:rPr>
          <w:rFonts w:ascii="Book Antiqua" w:hAnsi="Book Antiqua" w:cs="Times New Roman"/>
          <w:b/>
          <w:bCs/>
          <w:sz w:val="22"/>
          <w:szCs w:val="22"/>
        </w:rPr>
        <w:t>3.2</w:t>
      </w:r>
      <w:r w:rsidR="005C5BDF" w:rsidRPr="00AD02AE">
        <w:rPr>
          <w:rFonts w:ascii="Book Antiqua" w:hAnsi="Book Antiqua" w:cs="Times New Roman"/>
          <w:b/>
          <w:bCs/>
          <w:sz w:val="22"/>
          <w:szCs w:val="22"/>
        </w:rPr>
        <w:t xml:space="preserve"> </w:t>
      </w:r>
      <w:r w:rsidR="005C5BDF" w:rsidRPr="00AD02AE">
        <w:rPr>
          <w:rFonts w:ascii="Book Antiqua" w:hAnsi="Book Antiqua" w:cs="Times New Roman"/>
          <w:b/>
          <w:bCs/>
          <w:sz w:val="22"/>
          <w:szCs w:val="22"/>
        </w:rPr>
        <w:tab/>
        <w:t>Analisis Konflik Benturan Kepentingan dalam Dualitas BUMN</w:t>
      </w:r>
    </w:p>
    <w:p w14:paraId="2F6E556D" w14:textId="22FCB192" w:rsidR="00002D44" w:rsidRPr="00AD02AE" w:rsidRDefault="00305E00"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en-ID"/>
        </w:rPr>
        <w:t>P</w:t>
      </w:r>
      <w:r w:rsidR="00002D44" w:rsidRPr="00AD02AE">
        <w:rPr>
          <w:rFonts w:ascii="Book Antiqua" w:hAnsi="Book Antiqua" w:cs="Times New Roman"/>
          <w:sz w:val="22"/>
          <w:szCs w:val="22"/>
          <w:lang w:val="en-ID"/>
        </w:rPr>
        <w:t xml:space="preserve">raktik konflik nyata </w:t>
      </w:r>
      <w:r w:rsidRPr="00AD02AE">
        <w:rPr>
          <w:rFonts w:ascii="Book Antiqua" w:hAnsi="Book Antiqua" w:cs="Times New Roman"/>
          <w:sz w:val="22"/>
          <w:szCs w:val="22"/>
          <w:lang w:val="en-ID"/>
        </w:rPr>
        <w:t xml:space="preserve">mengenai dualitas kedudukan BUMN </w:t>
      </w:r>
      <w:r w:rsidR="00002D44" w:rsidRPr="00AD02AE">
        <w:rPr>
          <w:rFonts w:ascii="Book Antiqua" w:hAnsi="Book Antiqua" w:cs="Times New Roman"/>
          <w:sz w:val="22"/>
          <w:szCs w:val="22"/>
          <w:lang w:val="en-ID"/>
        </w:rPr>
        <w:t>dapat dilihat dari berbagai sektor strategis yang dikuasai BUMN. Dalam sektor transportasi, perusahaan negara seperti PT KAI dan Garuda Indonesia menghadapi dilema penetapan tarif</w:t>
      </w:r>
      <w:r w:rsidR="00747435" w:rsidRPr="00AD02AE">
        <w:rPr>
          <w:rFonts w:ascii="Book Antiqua" w:hAnsi="Book Antiqua" w:cs="Times New Roman"/>
          <w:sz w:val="22"/>
          <w:szCs w:val="22"/>
          <w:lang w:val="en-ID"/>
        </w:rPr>
        <w:t xml:space="preserve">, </w:t>
      </w:r>
      <w:r w:rsidR="006D08CC" w:rsidRPr="00AD02AE">
        <w:rPr>
          <w:rFonts w:ascii="Book Antiqua" w:hAnsi="Book Antiqua" w:cs="Times New Roman"/>
          <w:sz w:val="22"/>
          <w:szCs w:val="22"/>
          <w:lang w:val="en-ID"/>
        </w:rPr>
        <w:t xml:space="preserve">mereka </w:t>
      </w:r>
      <w:r w:rsidR="00002D44" w:rsidRPr="00AD02AE">
        <w:rPr>
          <w:rFonts w:ascii="Book Antiqua" w:hAnsi="Book Antiqua" w:cs="Times New Roman"/>
          <w:sz w:val="22"/>
          <w:szCs w:val="22"/>
          <w:lang w:val="en-ID"/>
        </w:rPr>
        <w:t xml:space="preserve">harus menjaga keterjangkauan harga sebagai bagian dari </w:t>
      </w:r>
      <w:r w:rsidR="00FA30A9" w:rsidRPr="00AD02AE">
        <w:rPr>
          <w:rFonts w:ascii="Book Antiqua" w:hAnsi="Book Antiqua" w:cs="Times New Roman"/>
          <w:sz w:val="22"/>
          <w:szCs w:val="22"/>
          <w:lang w:val="en-ID"/>
        </w:rPr>
        <w:t xml:space="preserve">PSO, </w:t>
      </w:r>
      <w:r w:rsidR="00002D44" w:rsidRPr="00AD02AE">
        <w:rPr>
          <w:rFonts w:ascii="Book Antiqua" w:hAnsi="Book Antiqua" w:cs="Times New Roman"/>
          <w:sz w:val="22"/>
          <w:szCs w:val="22"/>
          <w:lang w:val="en-ID"/>
        </w:rPr>
        <w:t xml:space="preserve">namun di sisi lain dituntut menghasilkan keuntungan. </w:t>
      </w:r>
      <w:r w:rsidR="00002D44" w:rsidRPr="00AD02AE">
        <w:rPr>
          <w:rFonts w:ascii="Book Antiqua" w:hAnsi="Book Antiqua" w:cs="Times New Roman"/>
          <w:sz w:val="22"/>
          <w:szCs w:val="22"/>
          <w:lang w:val="da-DK"/>
        </w:rPr>
        <w:t>Dalam sektor energi, PT PLN (Persero) dan Pertamina dipaksa menahan tarif listrik dan harga BBM demi stabilitas sosial politik, walaupun biaya produksi meningkat. Situasi ini menyebabkan kerugian besar jika kompensasi dari pemerintah terlambat atau tidak proporsional. Keseluruhan contoh tersebut menunjukkan bahwa benturan kepentingan dalam dualitas BUMN tidak hanya bersifat normatif, tetapi nyata dalam praktik operasional yang memengaruhi keberlanjutan bisnis.</w:t>
      </w:r>
    </w:p>
    <w:p w14:paraId="283C0697" w14:textId="4FD07BD9" w:rsidR="00002D44" w:rsidRPr="00AD02AE" w:rsidRDefault="00747435"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K</w:t>
      </w:r>
      <w:r w:rsidR="00002D44" w:rsidRPr="00AD02AE">
        <w:rPr>
          <w:rFonts w:ascii="Book Antiqua" w:hAnsi="Book Antiqua" w:cs="Times New Roman"/>
          <w:sz w:val="22"/>
          <w:szCs w:val="22"/>
          <w:lang w:val="da-DK"/>
        </w:rPr>
        <w:t>ewajiban PSO yang melekat pada BUMN menimbulkan potensi monopoli yang problematis. Misalny</w:t>
      </w:r>
      <w:r w:rsidRPr="00AD02AE">
        <w:rPr>
          <w:rFonts w:ascii="Book Antiqua" w:hAnsi="Book Antiqua" w:cs="Times New Roman"/>
          <w:sz w:val="22"/>
          <w:szCs w:val="22"/>
          <w:lang w:val="da-DK"/>
        </w:rPr>
        <w:t>a dalam p</w:t>
      </w:r>
      <w:r w:rsidR="00002D44" w:rsidRPr="00AD02AE">
        <w:rPr>
          <w:rFonts w:ascii="Book Antiqua" w:hAnsi="Book Antiqua" w:cs="Times New Roman"/>
          <w:sz w:val="22"/>
          <w:szCs w:val="22"/>
          <w:lang w:val="da-DK"/>
        </w:rPr>
        <w:t xml:space="preserve">emberian hak eksklusif kepada BUMN tertentu untuk menyelenggarakan layanan publik strategis dapat menciptakan distorsi pasar. Dalam perspektif hukum persaingan usaha, monopoli semacam ini bertentangan dengan prinsip persaingan sehat yang diatur dalam Undang-Undang No. 5 Tahun 1999. Namun, dari perspektif hukum administrasi negara, monopoli dianggap sah sepanjang dimaksudkan untuk kepentingan umum. Dualitas pandangan ini memunculkan perdebatan mengenai keadilan pasar </w:t>
      </w:r>
      <w:r w:rsidR="007F2741" w:rsidRPr="00AD02AE">
        <w:rPr>
          <w:rFonts w:ascii="Book Antiqua" w:hAnsi="Book Antiqua" w:cs="Times New Roman"/>
          <w:sz w:val="22"/>
          <w:szCs w:val="22"/>
          <w:lang w:val="da-DK"/>
        </w:rPr>
        <w:t>dan</w:t>
      </w:r>
      <w:r w:rsidR="00002D44" w:rsidRPr="00AD02AE">
        <w:rPr>
          <w:rFonts w:ascii="Book Antiqua" w:hAnsi="Book Antiqua" w:cs="Times New Roman"/>
          <w:sz w:val="22"/>
          <w:szCs w:val="22"/>
          <w:lang w:val="da-DK"/>
        </w:rPr>
        <w:t xml:space="preserve"> kebutuhan layanan publik.</w:t>
      </w:r>
      <w:r w:rsidR="00B90CAB" w:rsidRPr="00AD02AE">
        <w:rPr>
          <w:rStyle w:val="ReferensiCatatanKaki"/>
          <w:rFonts w:ascii="Book Antiqua" w:hAnsi="Book Antiqua" w:cs="Times New Roman"/>
          <w:sz w:val="22"/>
          <w:szCs w:val="22"/>
          <w:lang w:val="da-DK"/>
        </w:rPr>
        <w:footnoteReference w:id="16"/>
      </w:r>
      <w:r w:rsidR="00002D44" w:rsidRPr="00AD02AE">
        <w:rPr>
          <w:rFonts w:ascii="Book Antiqua" w:hAnsi="Book Antiqua" w:cs="Times New Roman"/>
          <w:sz w:val="22"/>
          <w:szCs w:val="22"/>
          <w:lang w:val="da-DK"/>
        </w:rPr>
        <w:t xml:space="preserve"> Jika monopoli tidak disertai dengan transparansi mekanisme kompensasi, BUMN dapat menikmati keistimewaan yang mengurangi daya saing dan merugikan pelaku swasta. Dengan demikian, PSO menjadi instrumen yang rawan disalahgunakan jika tidak diatur secara ketat dan transparan.</w:t>
      </w:r>
    </w:p>
    <w:p w14:paraId="4CFE5855" w14:textId="61184679" w:rsidR="0079385C" w:rsidRPr="00AD02AE" w:rsidRDefault="00002D44"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Dalam kerangka hukum nasional, keberadaan </w:t>
      </w:r>
      <w:r w:rsidR="006D08CC" w:rsidRPr="00AD02AE">
        <w:rPr>
          <w:rFonts w:ascii="Book Antiqua" w:hAnsi="Book Antiqua" w:cs="Times New Roman"/>
          <w:sz w:val="22"/>
          <w:szCs w:val="22"/>
          <w:lang w:val="da-DK"/>
        </w:rPr>
        <w:t>UU No. 1 tahun 2025 tentang BUMN</w:t>
      </w:r>
      <w:r w:rsidRPr="00AD02AE">
        <w:rPr>
          <w:rFonts w:ascii="Book Antiqua" w:hAnsi="Book Antiqua" w:cs="Times New Roman"/>
          <w:sz w:val="22"/>
          <w:szCs w:val="22"/>
          <w:lang w:val="da-DK"/>
        </w:rPr>
        <w:t xml:space="preserve"> </w:t>
      </w:r>
      <w:r w:rsidR="006D08CC" w:rsidRPr="00AD02AE">
        <w:rPr>
          <w:rFonts w:ascii="Book Antiqua" w:hAnsi="Book Antiqua" w:cs="Times New Roman"/>
          <w:sz w:val="22"/>
          <w:szCs w:val="22"/>
          <w:lang w:val="da-DK"/>
        </w:rPr>
        <w:t xml:space="preserve">memang </w:t>
      </w:r>
      <w:r w:rsidRPr="00AD02AE">
        <w:rPr>
          <w:rFonts w:ascii="Book Antiqua" w:hAnsi="Book Antiqua" w:cs="Times New Roman"/>
          <w:sz w:val="22"/>
          <w:szCs w:val="22"/>
          <w:lang w:val="da-DK"/>
        </w:rPr>
        <w:t xml:space="preserve">menghadirkan upaya harmonisasi. Regulasi ini mempertegas </w:t>
      </w:r>
      <w:r w:rsidRPr="00AD02AE">
        <w:rPr>
          <w:rFonts w:ascii="Book Antiqua" w:hAnsi="Book Antiqua" w:cs="Times New Roman"/>
          <w:sz w:val="22"/>
          <w:szCs w:val="22"/>
          <w:lang w:val="da-DK"/>
        </w:rPr>
        <w:lastRenderedPageBreak/>
        <w:t>kedudukan organ BUMN agar tidak lagi dikategorikan sebagai penyelenggara negara, sehingga mengurangi celah intervensi politik dalam manajemen. Namun, kewajiban PSO tetap dipertahankan, bahkan diperluas cakupannya dalam sektor-sektor strategis. Hal ini menciptakan dilema baru, di mana di satu sisi BUMN didorong lebih mandiri secara bisnis, tetapi di sisi lain tidak sepenuhnya bebas dari beban sosial. Dengan demikian, undang-undang baru ini belum sepenuhnya menyelesaikan benturan kepentingan, melainkan hanya menggeser titik tekan permasalahan.</w:t>
      </w:r>
    </w:p>
    <w:p w14:paraId="67A99015" w14:textId="77777777" w:rsidR="007F2741" w:rsidRPr="00AD02AE" w:rsidRDefault="007F2741"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Dualitas kedudukan BUMN merupakan permasalahan yang tidak sederhana dan belum sepenuhnya terselesaikan bahkan setelah lahirnya UU Nomor 1 Tahun 2025. Regulasi baru memang memperkuat aspek kemandirian korporasi dengan membatasi intervensi politik dan memperluas ruang bisnis, namun pada saat yang sama tetap mempertahankan kewajiban pelayanan publik yang memberatkan kebebasan korporasi. Kondisi ini menciptakan ambivalensi yang harus segera diatasi melalui kebijakan turunan yang konsisten dan harmonis. Jika tidak, BUMN akan terus menghadapi dilema antara profitabilitas dan fungsi sosial, sehingga kesulitan untuk mengoptimalkan peran sebagai motor penggerak ekonomi sekaligus instrumen kesejahteraan sosial.</w:t>
      </w:r>
    </w:p>
    <w:p w14:paraId="5DA178B6" w14:textId="4DB9B034" w:rsidR="0079385C" w:rsidRPr="00AD02AE" w:rsidRDefault="0079385C" w:rsidP="00AD02AE">
      <w:pPr>
        <w:spacing w:after="120" w:line="240" w:lineRule="auto"/>
        <w:ind w:firstLine="720"/>
        <w:jc w:val="both"/>
        <w:rPr>
          <w:rFonts w:ascii="Book Antiqua" w:hAnsi="Book Antiqua" w:cs="Times New Roman"/>
          <w:sz w:val="22"/>
          <w:szCs w:val="22"/>
          <w:lang w:val="da-DK"/>
        </w:rPr>
      </w:pPr>
    </w:p>
    <w:p w14:paraId="12A3F111" w14:textId="6807606D" w:rsidR="00521202" w:rsidRPr="00AD02AE" w:rsidRDefault="00521202" w:rsidP="00AD02AE">
      <w:pPr>
        <w:spacing w:after="120" w:line="240" w:lineRule="auto"/>
        <w:jc w:val="both"/>
        <w:rPr>
          <w:rFonts w:ascii="Book Antiqua" w:hAnsi="Book Antiqua" w:cs="Times New Roman"/>
          <w:b/>
          <w:bCs/>
          <w:sz w:val="22"/>
          <w:szCs w:val="22"/>
          <w:lang w:val="da-DK"/>
        </w:rPr>
      </w:pPr>
      <w:r w:rsidRPr="00AD02AE">
        <w:rPr>
          <w:rFonts w:ascii="Book Antiqua" w:hAnsi="Book Antiqua" w:cs="Times New Roman"/>
          <w:b/>
          <w:bCs/>
          <w:sz w:val="22"/>
          <w:szCs w:val="22"/>
          <w:lang w:val="da-DK"/>
        </w:rPr>
        <w:t>3.</w:t>
      </w:r>
      <w:r w:rsidR="005B3EA3" w:rsidRPr="00AD02AE">
        <w:rPr>
          <w:rFonts w:ascii="Book Antiqua" w:hAnsi="Book Antiqua" w:cs="Times New Roman"/>
          <w:b/>
          <w:bCs/>
          <w:sz w:val="22"/>
          <w:szCs w:val="22"/>
          <w:lang w:val="da-DK"/>
        </w:rPr>
        <w:t>3</w:t>
      </w:r>
      <w:r w:rsidRPr="00AD02AE">
        <w:rPr>
          <w:rFonts w:ascii="Book Antiqua" w:hAnsi="Book Antiqua" w:cs="Times New Roman"/>
          <w:b/>
          <w:bCs/>
          <w:sz w:val="22"/>
          <w:szCs w:val="22"/>
          <w:lang w:val="da-DK"/>
        </w:rPr>
        <w:t xml:space="preserve"> </w:t>
      </w:r>
      <w:r w:rsidR="005B3EA3" w:rsidRPr="00AD02AE">
        <w:rPr>
          <w:rFonts w:ascii="Book Antiqua" w:hAnsi="Book Antiqua" w:cs="Times New Roman"/>
          <w:b/>
          <w:bCs/>
          <w:sz w:val="22"/>
          <w:szCs w:val="22"/>
          <w:lang w:val="da-DK"/>
        </w:rPr>
        <w:tab/>
      </w:r>
      <w:r w:rsidRPr="00AD02AE">
        <w:rPr>
          <w:rFonts w:ascii="Book Antiqua" w:hAnsi="Book Antiqua" w:cs="Times New Roman"/>
          <w:b/>
          <w:bCs/>
          <w:sz w:val="22"/>
          <w:szCs w:val="22"/>
          <w:lang w:val="da-DK"/>
        </w:rPr>
        <w:t>Solusi untuk harmonisasi dualitas BUMN</w:t>
      </w:r>
    </w:p>
    <w:p w14:paraId="0D206D14" w14:textId="3D9DB31B"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Perumusan standar kompensasi yang adil untuk pelaksanaan </w:t>
      </w:r>
      <w:r w:rsidRPr="00AD02AE">
        <w:rPr>
          <w:rFonts w:ascii="Book Antiqua" w:hAnsi="Book Antiqua" w:cs="Times New Roman"/>
          <w:i/>
          <w:iCs/>
          <w:sz w:val="22"/>
          <w:szCs w:val="22"/>
          <w:lang w:val="da-DK"/>
        </w:rPr>
        <w:t>public service obligation</w:t>
      </w:r>
      <w:r w:rsidRPr="00AD02AE">
        <w:rPr>
          <w:rFonts w:ascii="Book Antiqua" w:hAnsi="Book Antiqua" w:cs="Times New Roman"/>
          <w:sz w:val="22"/>
          <w:szCs w:val="22"/>
          <w:lang w:val="da-DK"/>
        </w:rPr>
        <w:t xml:space="preserve"> (PSO) merupakan </w:t>
      </w:r>
      <w:r w:rsidR="007F2741" w:rsidRPr="00AD02AE">
        <w:rPr>
          <w:rFonts w:ascii="Book Antiqua" w:hAnsi="Book Antiqua" w:cs="Times New Roman"/>
          <w:sz w:val="22"/>
          <w:szCs w:val="22"/>
          <w:lang w:val="da-DK"/>
        </w:rPr>
        <w:t>p</w:t>
      </w:r>
      <w:r w:rsidRPr="00AD02AE">
        <w:rPr>
          <w:rFonts w:ascii="Book Antiqua" w:hAnsi="Book Antiqua" w:cs="Times New Roman"/>
          <w:sz w:val="22"/>
          <w:szCs w:val="22"/>
          <w:lang w:val="da-DK"/>
        </w:rPr>
        <w:t>ondasi utama dalam mengatasi problem dualitas kedudukan BUMN. Selama ini, salah satu persoalan pokok dalam pengelolaan BUMN adalah adanya kewajiban pelayanan publik yang tidak selalu diikuti dengan mekanisme kompensasi yang memadai. Kondisi ini tidak hanya menciptakan beban keuangan yang mengurangi efisiensi, tetapi juga mengaburkan posisi BUMN sebagai entitas bisnis yang dituntut untuk menghasilkan keuntungan. Oleh karena itu, pembaruan hukum perlu menegaskan standar kompensasi yang jelas, terukur, dan sesuai dengan prinsip transparansi anggaran negara. Standar tersebut harus diatur secara normatif dalam regulasi turunan, sehingga pelaksanaan PSO dapat berjalan seiring dengan keberlanjutan korporasi tanpa menimbulkan kerugian sistematis.</w:t>
      </w:r>
    </w:p>
    <w:p w14:paraId="3839CED0" w14:textId="1D5C742D"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Di samping kompensasi PSO, penguatan prinsip </w:t>
      </w:r>
      <w:r w:rsidRPr="00AD02AE">
        <w:rPr>
          <w:rFonts w:ascii="Book Antiqua" w:hAnsi="Book Antiqua" w:cs="Times New Roman"/>
          <w:i/>
          <w:iCs/>
          <w:sz w:val="22"/>
          <w:szCs w:val="22"/>
          <w:lang w:val="da-DK"/>
        </w:rPr>
        <w:t>business judgment rule</w:t>
      </w:r>
      <w:r w:rsidRPr="00AD02AE">
        <w:rPr>
          <w:rFonts w:ascii="Book Antiqua" w:hAnsi="Book Antiqua" w:cs="Times New Roman"/>
          <w:sz w:val="22"/>
          <w:szCs w:val="22"/>
          <w:lang w:val="da-DK"/>
        </w:rPr>
        <w:t xml:space="preserve"> merupakan aspek penting dalam menjaga kemandirian BUMN dari intervensi politik yang kerap mendistorsi keputusan bisnis.</w:t>
      </w:r>
      <w:r w:rsidR="002362CF" w:rsidRPr="00AD02AE">
        <w:rPr>
          <w:rStyle w:val="ReferensiCatatanKaki"/>
          <w:rFonts w:ascii="Book Antiqua" w:hAnsi="Book Antiqua" w:cs="Times New Roman"/>
          <w:sz w:val="22"/>
          <w:szCs w:val="22"/>
          <w:lang w:val="da-DK"/>
        </w:rPr>
        <w:footnoteReference w:id="17"/>
      </w:r>
      <w:r w:rsidRPr="00AD02AE">
        <w:rPr>
          <w:rFonts w:ascii="Book Antiqua" w:hAnsi="Book Antiqua" w:cs="Times New Roman"/>
          <w:sz w:val="22"/>
          <w:szCs w:val="22"/>
          <w:lang w:val="da-DK"/>
        </w:rPr>
        <w:t xml:space="preserve"> Prinsip ini, yang berasal dari praktik hukum korporasi, menegaskan bahwa sepanjang keputusan direksi diambil dengan itikad baik, rasional, dan untuk kepentingan perseroan, maka keputusan tersebut tidak dapat dipertanggungjawabkan secara pribadi. Penerapan prinsip ini pada BUMN bertujuan untuk memberikan ruang bagi direksi dalam mengambil langkah strategis tanpa dibayang-bayangi tekanan politik atau risiko kriminalisasi. Dengan begitu, BUMN dapat bergerak layaknya perusahaan profesional, sehingga orientasi pada profitabilitas tidak selalu berbenturan dengan mandat pelayanan publik. Implementasi prinsip ini akan memperkokoh posisi BUMN sebagai entitas korporasi yang sehat sekaligus instrumen negara.</w:t>
      </w:r>
    </w:p>
    <w:p w14:paraId="3907A1A4" w14:textId="77777777"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lastRenderedPageBreak/>
        <w:t xml:space="preserve">Aspek lain yang tidak kalah penting adalah penguatan regulasi persaingan usaha guna mengawasi potensi monopoli oleh BUMN. Dualitas kedudukan BUMN sering kali menempatkannya dalam posisi istimewa yang dapat menimbulkan </w:t>
      </w:r>
      <w:r w:rsidRPr="00103A30">
        <w:rPr>
          <w:rFonts w:ascii="Book Antiqua" w:hAnsi="Book Antiqua" w:cs="Times New Roman"/>
          <w:i/>
          <w:iCs/>
          <w:sz w:val="22"/>
          <w:szCs w:val="22"/>
          <w:lang w:val="da-DK"/>
        </w:rPr>
        <w:t>entry barrier</w:t>
      </w:r>
      <w:r w:rsidRPr="00103A30">
        <w:rPr>
          <w:rFonts w:ascii="Book Antiqua" w:hAnsi="Book Antiqua" w:cs="Times New Roman"/>
          <w:sz w:val="22"/>
          <w:szCs w:val="22"/>
          <w:lang w:val="da-DK"/>
        </w:rPr>
        <w:t xml:space="preserve"> bagi pelaku usaha swasta. </w:t>
      </w:r>
      <w:r w:rsidRPr="00AD02AE">
        <w:rPr>
          <w:rFonts w:ascii="Book Antiqua" w:hAnsi="Book Antiqua" w:cs="Times New Roman"/>
          <w:sz w:val="22"/>
          <w:szCs w:val="22"/>
          <w:lang w:val="da-DK"/>
        </w:rPr>
        <w:t>Misalnya, dalam sektor energi, transportasi, atau telekomunikasi, keberadaan BUMN dominan berpotensi menekan dinamika pasar yang sehat. Dalam konteks ini, peran Komisi Pengawas Persaingan Usaha (KPPU) perlu diperluas melalui mandat khusus untuk mengawasi pelaksanaan PSO oleh BUMN agar tidak disalahgunakan sebagai justifikasi praktik monopoli. Dengan demikian, keseimbangan antara keadilan pasar dan kebutuhan layanan publik dapat dijaga, serta legitimasi BUMN di mata pelaku usaha swasta tetap terpelihara.</w:t>
      </w:r>
    </w:p>
    <w:p w14:paraId="7B46B26F" w14:textId="0A26B0FF" w:rsidR="0079385C" w:rsidRPr="00AD02AE" w:rsidRDefault="00171301" w:rsidP="00AD02AE">
      <w:pPr>
        <w:spacing w:after="120" w:line="240" w:lineRule="auto"/>
        <w:ind w:firstLine="720"/>
        <w:jc w:val="both"/>
        <w:rPr>
          <w:rFonts w:ascii="Book Antiqua" w:hAnsi="Book Antiqua" w:cs="Times New Roman"/>
          <w:sz w:val="22"/>
          <w:szCs w:val="22"/>
          <w:lang w:val="da-DK"/>
        </w:rPr>
      </w:pPr>
      <w:r w:rsidRPr="00103A30">
        <w:rPr>
          <w:rFonts w:ascii="Book Antiqua" w:hAnsi="Book Antiqua" w:cs="Times New Roman"/>
          <w:sz w:val="22"/>
          <w:szCs w:val="22"/>
          <w:lang w:val="da-DK"/>
        </w:rPr>
        <w:t>Sehingga,</w:t>
      </w:r>
      <w:r w:rsidR="0079385C" w:rsidRPr="00103A30">
        <w:rPr>
          <w:rFonts w:ascii="Book Antiqua" w:hAnsi="Book Antiqua" w:cs="Times New Roman"/>
          <w:sz w:val="22"/>
          <w:szCs w:val="22"/>
          <w:lang w:val="da-DK"/>
        </w:rPr>
        <w:t xml:space="preserve"> antara prinsip </w:t>
      </w:r>
      <w:r w:rsidR="0079385C" w:rsidRPr="00103A30">
        <w:rPr>
          <w:rFonts w:ascii="Book Antiqua" w:hAnsi="Book Antiqua" w:cs="Times New Roman"/>
          <w:i/>
          <w:iCs/>
          <w:sz w:val="22"/>
          <w:szCs w:val="22"/>
          <w:lang w:val="da-DK"/>
        </w:rPr>
        <w:t>good corporate governance</w:t>
      </w:r>
      <w:r w:rsidR="0079385C" w:rsidRPr="00103A30">
        <w:rPr>
          <w:rFonts w:ascii="Book Antiqua" w:hAnsi="Book Antiqua" w:cs="Times New Roman"/>
          <w:sz w:val="22"/>
          <w:szCs w:val="22"/>
          <w:lang w:val="da-DK"/>
        </w:rPr>
        <w:t xml:space="preserve"> (GCG) dan pelaksanaan PSO menjadi kunci pembentukan model tata kelola hibrida bagi BUMN. Selama ini, terdapat kesenjangan antara standar tata kelola perusahaan yang menekankan akuntabilitas, transparansi, dan efisiensi, dengan praktik PSO yang sering kali berorientasi pada pemenuhan kebutuhan publik tanpa memperhatikan keberlanjutan finansial.</w:t>
      </w:r>
      <w:r w:rsidR="00320C37" w:rsidRPr="00AD02AE">
        <w:rPr>
          <w:rStyle w:val="ReferensiCatatanKaki"/>
          <w:rFonts w:ascii="Book Antiqua" w:hAnsi="Book Antiqua" w:cs="Times New Roman"/>
          <w:sz w:val="22"/>
          <w:szCs w:val="22"/>
          <w:lang w:val="en-ID"/>
        </w:rPr>
        <w:footnoteReference w:id="18"/>
      </w:r>
      <w:r w:rsidR="0079385C" w:rsidRPr="00103A30">
        <w:rPr>
          <w:rFonts w:ascii="Book Antiqua" w:hAnsi="Book Antiqua" w:cs="Times New Roman"/>
          <w:sz w:val="22"/>
          <w:szCs w:val="22"/>
          <w:lang w:val="da-DK"/>
        </w:rPr>
        <w:t xml:space="preserve"> </w:t>
      </w:r>
      <w:r w:rsidR="0079385C" w:rsidRPr="00AD02AE">
        <w:rPr>
          <w:rFonts w:ascii="Book Antiqua" w:hAnsi="Book Antiqua" w:cs="Times New Roman"/>
          <w:sz w:val="22"/>
          <w:szCs w:val="22"/>
          <w:lang w:val="da-DK"/>
        </w:rPr>
        <w:t>Model tata kelola hibrida yang dirumuskan secara normatif dapat menjadi jembatan antara kepentingan korporasi dan mandat sosial negara. Dengan mengintegrasikan mekanisme akuntabilitas korporasi dengan instrumen evaluasi pelaksanaan PSO, BUMN dapat tetap menjalankan fungsi sosialnya tanpa mengorbankan prinsip-prinsip profesionalisme dan keberlanjutan usaha.</w:t>
      </w:r>
    </w:p>
    <w:p w14:paraId="266FB314" w14:textId="00028778"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Dalam perspektif hukum, hadirnya Undang-Undang Nomor 1 Tahun 2025 tentang BUMN </w:t>
      </w:r>
      <w:r w:rsidR="00496DD8" w:rsidRPr="00AD02AE">
        <w:rPr>
          <w:rFonts w:ascii="Book Antiqua" w:hAnsi="Book Antiqua" w:cs="Times New Roman"/>
          <w:sz w:val="22"/>
          <w:szCs w:val="22"/>
          <w:lang w:val="da-DK"/>
        </w:rPr>
        <w:t>membuka ruang positif, namun masih menyisakan dilema PSO yang harus diatasi dengan solusi normatif.</w:t>
      </w:r>
      <w:r w:rsidRPr="00AD02AE">
        <w:rPr>
          <w:rFonts w:ascii="Book Antiqua" w:hAnsi="Book Antiqua" w:cs="Times New Roman"/>
          <w:sz w:val="22"/>
          <w:szCs w:val="22"/>
          <w:lang w:val="da-DK"/>
        </w:rPr>
        <w:t>. UU ini memberikan penguatan normatif terhadap status direksi dan komisaris BUMN yang tidak lagi dikategorikan sebagai penyelenggara negara. Konsekuensi dari pengaturan tersebut adalah terbukanya ruang bagi profesionalisasi manajemen yang lebih bebas dari intervensi politik, sekaligus memperjelas batas antara domain publik dan domain privat dalam pengelolaan BUMN. Meskipun demikian, UU ini masih menyisakan dilema mendasar mengenai pelaksanaan PSO, karena kewajiban sosial tetap melekat pada BUMN. Oleh sebab itu, peran UU ini harus dibaca sebagai langkah awal yang membuka ruang interpretasi baru bagi kebijakan turunan yang lebih adaptif.</w:t>
      </w:r>
    </w:p>
    <w:p w14:paraId="052C860B" w14:textId="119A0117"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Penerapan standar kompensasi PSO yang memadai, penguatan prinsip </w:t>
      </w:r>
      <w:r w:rsidRPr="00AD02AE">
        <w:rPr>
          <w:rFonts w:ascii="Book Antiqua" w:hAnsi="Book Antiqua" w:cs="Times New Roman"/>
          <w:i/>
          <w:iCs/>
          <w:sz w:val="22"/>
          <w:szCs w:val="22"/>
          <w:lang w:val="da-DK"/>
        </w:rPr>
        <w:t>business judgment rule</w:t>
      </w:r>
      <w:r w:rsidRPr="00AD02AE">
        <w:rPr>
          <w:rFonts w:ascii="Book Antiqua" w:hAnsi="Book Antiqua" w:cs="Times New Roman"/>
          <w:sz w:val="22"/>
          <w:szCs w:val="22"/>
          <w:lang w:val="da-DK"/>
        </w:rPr>
        <w:t>, dan pengawasan ketat terhadap praktik monopoli harus dipandang sebagai satu kesatuan kebijakan yang saling melengkapi. Tanpa adanya standar kompensasi yang jelas, PSO akan selalu menjadi beban keuangan</w:t>
      </w:r>
      <w:r w:rsidR="00171301" w:rsidRPr="00AD02AE">
        <w:rPr>
          <w:rFonts w:ascii="Book Antiqua" w:hAnsi="Book Antiqua" w:cs="Times New Roman"/>
          <w:sz w:val="22"/>
          <w:szCs w:val="22"/>
          <w:lang w:val="da-DK"/>
        </w:rPr>
        <w:t xml:space="preserve">, </w:t>
      </w:r>
      <w:r w:rsidRPr="00AD02AE">
        <w:rPr>
          <w:rFonts w:ascii="Book Antiqua" w:hAnsi="Book Antiqua" w:cs="Times New Roman"/>
          <w:sz w:val="22"/>
          <w:szCs w:val="22"/>
          <w:lang w:val="da-DK"/>
        </w:rPr>
        <w:t xml:space="preserve">tanpa </w:t>
      </w:r>
      <w:r w:rsidRPr="00AD02AE">
        <w:rPr>
          <w:rFonts w:ascii="Book Antiqua" w:hAnsi="Book Antiqua" w:cs="Times New Roman"/>
          <w:i/>
          <w:iCs/>
          <w:sz w:val="22"/>
          <w:szCs w:val="22"/>
          <w:lang w:val="da-DK"/>
        </w:rPr>
        <w:t>business judgment rule</w:t>
      </w:r>
      <w:r w:rsidRPr="00AD02AE">
        <w:rPr>
          <w:rFonts w:ascii="Book Antiqua" w:hAnsi="Book Antiqua" w:cs="Times New Roman"/>
          <w:sz w:val="22"/>
          <w:szCs w:val="22"/>
          <w:lang w:val="da-DK"/>
        </w:rPr>
        <w:t>, direksi BUMN akan terus berada dalam bayang-bayang intervensi politik</w:t>
      </w:r>
      <w:r w:rsidR="00171301" w:rsidRPr="00AD02AE">
        <w:rPr>
          <w:rFonts w:ascii="Book Antiqua" w:hAnsi="Book Antiqua" w:cs="Times New Roman"/>
          <w:sz w:val="22"/>
          <w:szCs w:val="22"/>
          <w:lang w:val="da-DK"/>
        </w:rPr>
        <w:t xml:space="preserve">, </w:t>
      </w:r>
      <w:r w:rsidRPr="00AD02AE">
        <w:rPr>
          <w:rFonts w:ascii="Book Antiqua" w:hAnsi="Book Antiqua" w:cs="Times New Roman"/>
          <w:sz w:val="22"/>
          <w:szCs w:val="22"/>
          <w:lang w:val="da-DK"/>
        </w:rPr>
        <w:t>tanpa penguatan regulasi persaingan usaha, BUMN akan terus dicurigai sebagai instrumen monopoli negara. Oleh karena itu, sinergi dari ketiga elemen tersebut menjadi langkah strategis dalam memperkuat fondasi hukum sekaligus mengharmonisasi fungsi ganda BUMN.</w:t>
      </w:r>
    </w:p>
    <w:p w14:paraId="38AF3D90" w14:textId="77777777"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 xml:space="preserve">Di sisi lain, pengembangan tata kelola hibrida berbasis GCG bukan hanya dimaksudkan untuk memperbaiki sistem internal BUMN, tetapi juga untuk </w:t>
      </w:r>
      <w:r w:rsidRPr="00AD02AE">
        <w:rPr>
          <w:rFonts w:ascii="Book Antiqua" w:hAnsi="Book Antiqua" w:cs="Times New Roman"/>
          <w:sz w:val="22"/>
          <w:szCs w:val="22"/>
          <w:lang w:val="da-DK"/>
        </w:rPr>
        <w:lastRenderedPageBreak/>
        <w:t>membangun kepercayaan publik dan investor terhadap profesionalisme BUMN. Sebuah model tata kelola yang mengakomodasi PSO akan menegaskan bahwa BUMN mampu menjalankan mandat sosial tanpa kehilangan identitas sebagai korporasi. Dengan demikian, transparansi dan akuntabilitas publik tidak hanya menjadi slogan, melainkan terimplementasi dalam mekanisme audit, pelaporan, serta sistem insentif yang adil bagi pengurus dan karyawan BUMN.</w:t>
      </w:r>
    </w:p>
    <w:p w14:paraId="02518EC9" w14:textId="1E827587" w:rsidR="0079385C" w:rsidRPr="00AD02AE" w:rsidRDefault="0079385C"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Implikasi dari solusi normatif tersebut adalah terbentuknya sebuah paradigma baru mengenai kedudukan BUMN dalam sistem ekonomi nasional. BUMN tidak lagi dipandang semata-mata sebagai alat negara ataupun sebagai entitas bisnis biasa, melainkan sebagai aktor hibrida yang mampu memainkan peran ganda secara seimbang.</w:t>
      </w:r>
      <w:r w:rsidR="00320C37" w:rsidRPr="00AD02AE">
        <w:rPr>
          <w:rStyle w:val="ReferensiCatatanKaki"/>
          <w:rFonts w:ascii="Book Antiqua" w:hAnsi="Book Antiqua" w:cs="Times New Roman"/>
          <w:sz w:val="22"/>
          <w:szCs w:val="22"/>
          <w:lang w:val="da-DK"/>
        </w:rPr>
        <w:footnoteReference w:id="19"/>
      </w:r>
      <w:r w:rsidRPr="00AD02AE">
        <w:rPr>
          <w:rFonts w:ascii="Book Antiqua" w:hAnsi="Book Antiqua" w:cs="Times New Roman"/>
          <w:sz w:val="22"/>
          <w:szCs w:val="22"/>
          <w:lang w:val="da-DK"/>
        </w:rPr>
        <w:t xml:space="preserve"> Keberhasilan dari model ini tentu memerlukan konsistensi regulasi, keberanian politik untuk mengurangi intervensi, serta komitmen dari manajemen BUMN dalam menjaga profesionalisme. Dengan begitu, dualitas BUMN tidak lagi dilihat sebagai kelemahan, melainkan sebagai kekuatan strategis yang mampu mengakomodasi kepentingan publik sekaligus menjaga keberlanjutan bisnis.</w:t>
      </w:r>
    </w:p>
    <w:p w14:paraId="3CEDF39B" w14:textId="7E3E422E" w:rsidR="0079385C" w:rsidRPr="00AD02AE" w:rsidRDefault="00171301" w:rsidP="00AD02AE">
      <w:pPr>
        <w:spacing w:after="120" w:line="240" w:lineRule="auto"/>
        <w:ind w:firstLine="720"/>
        <w:jc w:val="both"/>
        <w:rPr>
          <w:rFonts w:ascii="Book Antiqua" w:hAnsi="Book Antiqua" w:cs="Times New Roman"/>
          <w:sz w:val="22"/>
          <w:szCs w:val="22"/>
          <w:lang w:val="da-DK"/>
        </w:rPr>
      </w:pPr>
      <w:r w:rsidRPr="00AD02AE">
        <w:rPr>
          <w:rFonts w:ascii="Book Antiqua" w:hAnsi="Book Antiqua" w:cs="Times New Roman"/>
          <w:sz w:val="22"/>
          <w:szCs w:val="22"/>
          <w:lang w:val="da-DK"/>
        </w:rPr>
        <w:t>P</w:t>
      </w:r>
      <w:r w:rsidR="0079385C" w:rsidRPr="00AD02AE">
        <w:rPr>
          <w:rFonts w:ascii="Book Antiqua" w:hAnsi="Book Antiqua" w:cs="Times New Roman"/>
          <w:sz w:val="22"/>
          <w:szCs w:val="22"/>
          <w:lang w:val="da-DK"/>
        </w:rPr>
        <w:t>erumusan solusi normatif ini harus dipahami bukan sebagai tujuan akhir, tetapi sebagai langkah awal menuju reformasi menyeluruh terhadap tata kelola BUMN di Indonesia. Harmonisasi regulasi, penataan mekanisme kompensasi PSO, serta pembaruan instrumen pengawasan persaingan usaha hanyalah bagian dari proses panjang menuju terciptanya BUMN yang mandiri, profesional, dan berorientasi ganda secara seimbang. Keberhasilan implementasi solusi ini akan menjadi indikator penting sejauh mana negara mampu menyeimbangkan fungsi BUMN sebagai lokomotif ekonomi sekaligus instrumen pelayanan publik. Dengan demikian, UU No. 1 Tahun 2025 harus dijadikan momentum untuk merumuskan desain institusional yang lebih progresif dalam mengatasi konflik dualitas kedudukan BUMN.</w:t>
      </w:r>
    </w:p>
    <w:p w14:paraId="080BCBBF" w14:textId="77777777" w:rsidR="00F4703B" w:rsidRPr="00AD02AE" w:rsidRDefault="00F4703B" w:rsidP="00AD02AE">
      <w:pPr>
        <w:spacing w:after="120" w:line="240" w:lineRule="auto"/>
        <w:jc w:val="both"/>
        <w:rPr>
          <w:rFonts w:ascii="Book Antiqua" w:hAnsi="Book Antiqua" w:cs="Times New Roman"/>
          <w:sz w:val="22"/>
          <w:szCs w:val="22"/>
          <w:lang w:val="da-DK"/>
        </w:rPr>
      </w:pPr>
    </w:p>
    <w:p w14:paraId="3C48F9BF" w14:textId="11F63D76" w:rsidR="005F4750" w:rsidRPr="00AD02AE" w:rsidRDefault="00C451B2" w:rsidP="00AD02AE">
      <w:pPr>
        <w:pStyle w:val="DaftarParagraf"/>
        <w:numPr>
          <w:ilvl w:val="0"/>
          <w:numId w:val="1"/>
        </w:numPr>
        <w:spacing w:after="120" w:line="240" w:lineRule="auto"/>
        <w:jc w:val="both"/>
        <w:rPr>
          <w:rFonts w:ascii="Book Antiqua" w:hAnsi="Book Antiqua" w:cs="Times New Roman"/>
          <w:b/>
          <w:bCs/>
          <w:sz w:val="22"/>
          <w:szCs w:val="22"/>
        </w:rPr>
      </w:pPr>
      <w:r w:rsidRPr="00AD02AE">
        <w:rPr>
          <w:rFonts w:ascii="Book Antiqua" w:hAnsi="Book Antiqua" w:cs="Times New Roman"/>
          <w:b/>
          <w:bCs/>
          <w:sz w:val="22"/>
          <w:szCs w:val="22"/>
        </w:rPr>
        <w:t>KESIMPULAN</w:t>
      </w:r>
    </w:p>
    <w:p w14:paraId="06475A74" w14:textId="4A825AB1" w:rsidR="00F2513B" w:rsidRPr="00AD02AE" w:rsidRDefault="007D7623" w:rsidP="00AD02AE">
      <w:pPr>
        <w:pStyle w:val="DaftarParagraf"/>
        <w:spacing w:after="120" w:line="240" w:lineRule="auto"/>
        <w:ind w:left="0" w:firstLine="720"/>
        <w:jc w:val="both"/>
        <w:rPr>
          <w:rFonts w:ascii="Book Antiqua" w:hAnsi="Book Antiqua" w:cs="Times New Roman"/>
          <w:sz w:val="22"/>
          <w:szCs w:val="22"/>
        </w:rPr>
      </w:pPr>
      <w:r w:rsidRPr="00AD02AE">
        <w:rPr>
          <w:rFonts w:ascii="Book Antiqua" w:hAnsi="Book Antiqua" w:cs="Times New Roman"/>
          <w:sz w:val="22"/>
          <w:szCs w:val="22"/>
        </w:rPr>
        <w:t xml:space="preserve">Berdasar </w:t>
      </w:r>
      <w:r w:rsidR="00F2513B" w:rsidRPr="00AD02AE">
        <w:rPr>
          <w:rFonts w:ascii="Book Antiqua" w:hAnsi="Book Antiqua" w:cs="Times New Roman"/>
          <w:sz w:val="22"/>
          <w:szCs w:val="22"/>
        </w:rPr>
        <w:t>pada</w:t>
      </w:r>
      <w:r w:rsidRPr="00AD02AE">
        <w:rPr>
          <w:rFonts w:ascii="Book Antiqua" w:hAnsi="Book Antiqua" w:cs="Times New Roman"/>
          <w:sz w:val="22"/>
          <w:szCs w:val="22"/>
        </w:rPr>
        <w:t xml:space="preserve"> penjelasan yang telah diuraikan, penulis menyimpulkan bahwa </w:t>
      </w:r>
      <w:r w:rsidR="00F2513B" w:rsidRPr="00AD02AE">
        <w:rPr>
          <w:rFonts w:ascii="Book Antiqua" w:hAnsi="Book Antiqua" w:cs="Times New Roman"/>
          <w:sz w:val="22"/>
          <w:szCs w:val="22"/>
        </w:rPr>
        <w:t>Dualitas kedudukan B</w:t>
      </w:r>
      <w:r w:rsidR="00A96BA6" w:rsidRPr="00AD02AE">
        <w:rPr>
          <w:rFonts w:ascii="Book Antiqua" w:hAnsi="Book Antiqua" w:cs="Times New Roman"/>
          <w:sz w:val="22"/>
          <w:szCs w:val="22"/>
        </w:rPr>
        <w:t xml:space="preserve">UMN </w:t>
      </w:r>
      <w:r w:rsidR="00F2513B" w:rsidRPr="00AD02AE">
        <w:rPr>
          <w:rFonts w:ascii="Book Antiqua" w:hAnsi="Book Antiqua" w:cs="Times New Roman"/>
          <w:sz w:val="22"/>
          <w:szCs w:val="22"/>
        </w:rPr>
        <w:t xml:space="preserve">sebagai korporasi sekaligus instrumen pelayanan publik menciptakan persoalan struktural dalam tata </w:t>
      </w:r>
      <w:r w:rsidR="00A96BA6" w:rsidRPr="00AD02AE">
        <w:rPr>
          <w:rFonts w:ascii="Book Antiqua" w:hAnsi="Book Antiqua" w:cs="Times New Roman"/>
          <w:sz w:val="22"/>
          <w:szCs w:val="22"/>
        </w:rPr>
        <w:t>k</w:t>
      </w:r>
      <w:r w:rsidR="00091CD9" w:rsidRPr="00AD02AE">
        <w:rPr>
          <w:rFonts w:ascii="Book Antiqua" w:hAnsi="Book Antiqua" w:cs="Times New Roman"/>
          <w:sz w:val="22"/>
          <w:szCs w:val="22"/>
        </w:rPr>
        <w:t>elola</w:t>
      </w:r>
      <w:r w:rsidR="00F2513B" w:rsidRPr="00AD02AE">
        <w:rPr>
          <w:rFonts w:ascii="Book Antiqua" w:hAnsi="Book Antiqua" w:cs="Times New Roman"/>
          <w:sz w:val="22"/>
          <w:szCs w:val="22"/>
        </w:rPr>
        <w:t>. Di satu sisi, BUMN tunduk pada prinsip hukum korporasi seperti efisiensi dan profitabilitas</w:t>
      </w:r>
      <w:r w:rsidR="00091CD9" w:rsidRPr="00AD02AE">
        <w:rPr>
          <w:rFonts w:ascii="Book Antiqua" w:hAnsi="Book Antiqua" w:cs="Times New Roman"/>
          <w:sz w:val="22"/>
          <w:szCs w:val="22"/>
        </w:rPr>
        <w:t>, namun</w:t>
      </w:r>
      <w:r w:rsidR="00F2513B" w:rsidRPr="00AD02AE">
        <w:rPr>
          <w:rFonts w:ascii="Book Antiqua" w:hAnsi="Book Antiqua" w:cs="Times New Roman"/>
          <w:sz w:val="22"/>
          <w:szCs w:val="22"/>
        </w:rPr>
        <w:t xml:space="preserve"> di sisi lain, ia dibebani kewajiban</w:t>
      </w:r>
      <w:r w:rsidR="00A96BA6" w:rsidRPr="00AD02AE">
        <w:rPr>
          <w:rFonts w:ascii="Book Antiqua" w:hAnsi="Book Antiqua" w:cs="Times New Roman"/>
          <w:sz w:val="22"/>
          <w:szCs w:val="22"/>
        </w:rPr>
        <w:t xml:space="preserve"> PSO</w:t>
      </w:r>
      <w:r w:rsidR="00F2513B" w:rsidRPr="00AD02AE">
        <w:rPr>
          <w:rFonts w:ascii="Book Antiqua" w:hAnsi="Book Antiqua" w:cs="Times New Roman"/>
          <w:sz w:val="22"/>
          <w:szCs w:val="22"/>
        </w:rPr>
        <w:t xml:space="preserve"> sebagai perpanjangan tangan negara.</w:t>
      </w:r>
      <w:r w:rsidR="003707CA" w:rsidRPr="00AD02AE">
        <w:rPr>
          <w:rFonts w:ascii="Book Antiqua" w:hAnsi="Book Antiqua" w:cs="Times New Roman"/>
          <w:sz w:val="22"/>
          <w:szCs w:val="22"/>
        </w:rPr>
        <w:t xml:space="preserve"> </w:t>
      </w:r>
      <w:r w:rsidR="00F2513B" w:rsidRPr="00AD02AE">
        <w:rPr>
          <w:rFonts w:ascii="Book Antiqua" w:hAnsi="Book Antiqua" w:cs="Times New Roman"/>
          <w:sz w:val="22"/>
          <w:szCs w:val="22"/>
        </w:rPr>
        <w:t xml:space="preserve">Undang-Undang Nomor 1 Tahun 2025 tentang BUMN memberikan pembaruan normatif dengan memperluas ruang kemandirian bisnis, menegaskan kedudukan organ BUMN, dan memperkuat prinsip </w:t>
      </w:r>
      <w:r w:rsidR="00F2513B" w:rsidRPr="00AD02AE">
        <w:rPr>
          <w:rFonts w:ascii="Book Antiqua" w:hAnsi="Book Antiqua" w:cs="Times New Roman"/>
          <w:i/>
          <w:iCs/>
          <w:sz w:val="22"/>
          <w:szCs w:val="22"/>
        </w:rPr>
        <w:t>business judgment rule</w:t>
      </w:r>
      <w:r w:rsidR="00F2513B" w:rsidRPr="00AD02AE">
        <w:rPr>
          <w:rFonts w:ascii="Book Antiqua" w:hAnsi="Book Antiqua" w:cs="Times New Roman"/>
          <w:sz w:val="22"/>
          <w:szCs w:val="22"/>
        </w:rPr>
        <w:t xml:space="preserve">. Namun </w:t>
      </w:r>
      <w:r w:rsidR="00EA1CF1" w:rsidRPr="00AD02AE">
        <w:rPr>
          <w:rFonts w:ascii="Book Antiqua" w:hAnsi="Book Antiqua" w:cs="Times New Roman"/>
          <w:sz w:val="22"/>
          <w:szCs w:val="22"/>
        </w:rPr>
        <w:t xml:space="preserve">secara bersamaan, </w:t>
      </w:r>
      <w:r w:rsidR="00F2513B" w:rsidRPr="00AD02AE">
        <w:rPr>
          <w:rFonts w:ascii="Book Antiqua" w:hAnsi="Book Antiqua" w:cs="Times New Roman"/>
          <w:sz w:val="22"/>
          <w:szCs w:val="22"/>
        </w:rPr>
        <w:t xml:space="preserve">kewajiban PSO </w:t>
      </w:r>
      <w:r w:rsidR="00EA1CF1" w:rsidRPr="00AD02AE">
        <w:rPr>
          <w:rFonts w:ascii="Book Antiqua" w:hAnsi="Book Antiqua" w:cs="Times New Roman"/>
          <w:sz w:val="22"/>
          <w:szCs w:val="22"/>
        </w:rPr>
        <w:t>yang diemban BUMN justru diperkuat dalam regulasi ini</w:t>
      </w:r>
      <w:r w:rsidR="00F2513B" w:rsidRPr="00AD02AE">
        <w:rPr>
          <w:rFonts w:ascii="Book Antiqua" w:hAnsi="Book Antiqua" w:cs="Times New Roman"/>
          <w:sz w:val="22"/>
          <w:szCs w:val="22"/>
        </w:rPr>
        <w:t xml:space="preserve">, sehingga BUMN </w:t>
      </w:r>
      <w:r w:rsidR="00EA1CF1" w:rsidRPr="00AD02AE">
        <w:rPr>
          <w:rFonts w:ascii="Book Antiqua" w:hAnsi="Book Antiqua" w:cs="Times New Roman"/>
          <w:sz w:val="22"/>
          <w:szCs w:val="22"/>
        </w:rPr>
        <w:t xml:space="preserve">menghadapi </w:t>
      </w:r>
      <w:r w:rsidR="00F2513B" w:rsidRPr="00AD02AE">
        <w:rPr>
          <w:rFonts w:ascii="Book Antiqua" w:hAnsi="Book Antiqua" w:cs="Times New Roman"/>
          <w:sz w:val="22"/>
          <w:szCs w:val="22"/>
        </w:rPr>
        <w:t xml:space="preserve">ambivalensi </w:t>
      </w:r>
      <w:r w:rsidR="00EA1CF1" w:rsidRPr="00AD02AE">
        <w:rPr>
          <w:rFonts w:ascii="Book Antiqua" w:hAnsi="Book Antiqua" w:cs="Times New Roman"/>
          <w:sz w:val="22"/>
          <w:szCs w:val="22"/>
        </w:rPr>
        <w:t>yakni</w:t>
      </w:r>
      <w:r w:rsidR="00F2513B" w:rsidRPr="00AD02AE">
        <w:rPr>
          <w:rFonts w:ascii="Book Antiqua" w:hAnsi="Book Antiqua" w:cs="Times New Roman"/>
          <w:sz w:val="22"/>
          <w:szCs w:val="22"/>
        </w:rPr>
        <w:t xml:space="preserve"> mandiri secara normatif, tetapi tetap terikat dilema kewajiban ganda. </w:t>
      </w:r>
    </w:p>
    <w:p w14:paraId="313FF9B6" w14:textId="7447CB17" w:rsidR="00C451B2" w:rsidRPr="00AD02AE" w:rsidRDefault="00FA30A9" w:rsidP="00AD02AE">
      <w:pPr>
        <w:pStyle w:val="DaftarParagraf"/>
        <w:spacing w:after="120" w:line="240" w:lineRule="auto"/>
        <w:ind w:left="0" w:firstLine="720"/>
        <w:jc w:val="both"/>
        <w:rPr>
          <w:rFonts w:ascii="Book Antiqua" w:hAnsi="Book Antiqua" w:cs="Times New Roman"/>
          <w:sz w:val="22"/>
          <w:szCs w:val="22"/>
        </w:rPr>
      </w:pPr>
      <w:r w:rsidRPr="00AD02AE">
        <w:rPr>
          <w:rFonts w:ascii="Book Antiqua" w:hAnsi="Book Antiqua" w:cs="Times New Roman"/>
          <w:sz w:val="22"/>
          <w:szCs w:val="22"/>
        </w:rPr>
        <w:t xml:space="preserve">Penulis pada akhirnya menarik benang merah dalam tulisan ini bahwa pendekatan interdisipliner hukum korporasi dan hukum administrasi negara menjadi salah satu kunci utama dalam memahami posisi BUMN sebagai entitas bisnis publik. Adapun secara praktis, </w:t>
      </w:r>
      <w:r w:rsidR="00C451B2" w:rsidRPr="00AD02AE">
        <w:rPr>
          <w:rFonts w:ascii="Book Antiqua" w:hAnsi="Book Antiqua" w:cs="Times New Roman"/>
          <w:sz w:val="22"/>
          <w:szCs w:val="22"/>
        </w:rPr>
        <w:t xml:space="preserve">Pemerintah harus segera menyusun peraturan pelaksana yang secara rinci mengatur mekanisme kompensasi PSO berbasis prinsip </w:t>
      </w:r>
      <w:r w:rsidR="00C451B2" w:rsidRPr="00AD02AE">
        <w:rPr>
          <w:rFonts w:ascii="Book Antiqua" w:hAnsi="Book Antiqua" w:cs="Times New Roman"/>
          <w:i/>
          <w:iCs/>
          <w:sz w:val="22"/>
          <w:szCs w:val="22"/>
        </w:rPr>
        <w:t>cost recovery</w:t>
      </w:r>
      <w:r w:rsidR="00C451B2" w:rsidRPr="00AD02AE">
        <w:rPr>
          <w:rFonts w:ascii="Book Antiqua" w:hAnsi="Book Antiqua" w:cs="Times New Roman"/>
          <w:sz w:val="22"/>
          <w:szCs w:val="22"/>
        </w:rPr>
        <w:t xml:space="preserve"> dengan indikator kinerja yang terukur dan sistem audit yang transparan. Adapun guna </w:t>
      </w:r>
      <w:r w:rsidR="00C451B2" w:rsidRPr="00AD02AE">
        <w:rPr>
          <w:rFonts w:ascii="Book Antiqua" w:hAnsi="Book Antiqua" w:cs="Times New Roman"/>
          <w:sz w:val="22"/>
          <w:szCs w:val="22"/>
        </w:rPr>
        <w:lastRenderedPageBreak/>
        <w:t xml:space="preserve">memperkuat tata kelola korporasi, perlu diterapkan </w:t>
      </w:r>
      <w:r w:rsidR="00C451B2" w:rsidRPr="00AD02AE">
        <w:rPr>
          <w:rFonts w:ascii="Book Antiqua" w:hAnsi="Book Antiqua" w:cs="Times New Roman"/>
          <w:i/>
          <w:iCs/>
          <w:sz w:val="22"/>
          <w:szCs w:val="22"/>
        </w:rPr>
        <w:t>fit and proper test</w:t>
      </w:r>
      <w:r w:rsidR="00C451B2" w:rsidRPr="00AD02AE">
        <w:rPr>
          <w:rFonts w:ascii="Book Antiqua" w:hAnsi="Book Antiqua" w:cs="Times New Roman"/>
          <w:sz w:val="22"/>
          <w:szCs w:val="22"/>
        </w:rPr>
        <w:t xml:space="preserve"> yang ketat bagi jajaran direksi dan komisaris, disertai program </w:t>
      </w:r>
      <w:r w:rsidR="00C451B2" w:rsidRPr="00AD02AE">
        <w:rPr>
          <w:rFonts w:ascii="Book Antiqua" w:hAnsi="Book Antiqua" w:cs="Times New Roman"/>
          <w:i/>
          <w:iCs/>
          <w:sz w:val="22"/>
          <w:szCs w:val="22"/>
        </w:rPr>
        <w:t>capacity building</w:t>
      </w:r>
      <w:r w:rsidR="00C451B2" w:rsidRPr="00AD02AE">
        <w:rPr>
          <w:rFonts w:ascii="Book Antiqua" w:hAnsi="Book Antiqua" w:cs="Times New Roman"/>
          <w:sz w:val="22"/>
          <w:szCs w:val="22"/>
        </w:rPr>
        <w:t xml:space="preserve"> berkelanjutan guna memastikan profesionalisme manajerial sesuai dengan prinsip GCG. Selain itu, fungsi pengawasan dewan komisaris harus diperkuat melalui pengaturan independensi struktural dan peningkatan akses terhadap informasi strategis perusahaan. Pada tataran kebijakan, dibutuhkan </w:t>
      </w:r>
      <w:r w:rsidR="00C451B2" w:rsidRPr="00AD02AE">
        <w:rPr>
          <w:rFonts w:ascii="Book Antiqua" w:hAnsi="Book Antiqua" w:cs="Times New Roman"/>
          <w:i/>
          <w:iCs/>
          <w:sz w:val="22"/>
          <w:szCs w:val="22"/>
        </w:rPr>
        <w:t>regulatory coordination mechanism</w:t>
      </w:r>
      <w:r w:rsidR="00C451B2" w:rsidRPr="00AD02AE">
        <w:rPr>
          <w:rFonts w:ascii="Book Antiqua" w:hAnsi="Book Antiqua" w:cs="Times New Roman"/>
          <w:sz w:val="22"/>
          <w:szCs w:val="22"/>
        </w:rPr>
        <w:t xml:space="preserve"> antara Kementerian BUMN, Kementerian Keuangan, dan lembaga pengawas eksternal untuk menjamin konsistensi implementasi UU No. 1 Tahun 2025. Dengan langkah-langkah teknis tersebut, diharapkan BUMN dapat beroperasi secara efisien, transparan, dan akuntabel tanpa kehilangan perannya sebagai instrumen negara dalam mendorong kesejahteraan sosial dan pembangunan ekonomi nasional.</w:t>
      </w:r>
    </w:p>
    <w:p w14:paraId="6FAF736A" w14:textId="77777777" w:rsidR="00260DE3" w:rsidRPr="00F642B0" w:rsidRDefault="00260DE3" w:rsidP="003749CD">
      <w:pPr>
        <w:spacing w:line="240" w:lineRule="auto"/>
        <w:jc w:val="both"/>
        <w:rPr>
          <w:rFonts w:ascii="Book Antiqua" w:hAnsi="Book Antiqua" w:cs="Times New Roman"/>
        </w:rPr>
      </w:pPr>
    </w:p>
    <w:p w14:paraId="34E17EE4" w14:textId="06656BD4" w:rsidR="00414414" w:rsidRPr="00103A30" w:rsidRDefault="00F4703B" w:rsidP="00AD02AE">
      <w:pPr>
        <w:spacing w:after="0" w:line="240" w:lineRule="auto"/>
        <w:ind w:left="709" w:hanging="709"/>
        <w:jc w:val="both"/>
        <w:rPr>
          <w:rFonts w:ascii="Book Antiqua" w:hAnsi="Book Antiqua" w:cs="Times New Roman"/>
          <w:b/>
          <w:bCs/>
          <w:sz w:val="22"/>
          <w:szCs w:val="22"/>
          <w:lang w:val="fi-FI"/>
        </w:rPr>
      </w:pPr>
      <w:r w:rsidRPr="00103A30">
        <w:rPr>
          <w:rFonts w:ascii="Book Antiqua" w:hAnsi="Book Antiqua" w:cs="Times New Roman"/>
          <w:b/>
          <w:bCs/>
          <w:sz w:val="22"/>
          <w:szCs w:val="22"/>
          <w:lang w:val="fi-FI"/>
        </w:rPr>
        <w:t>DAFTAR PUSTAKA</w:t>
      </w:r>
      <w:r w:rsidR="00414414" w:rsidRPr="00103A30">
        <w:rPr>
          <w:rFonts w:ascii="Book Antiqua" w:hAnsi="Book Antiqua" w:cs="Times New Roman"/>
          <w:sz w:val="22"/>
          <w:szCs w:val="22"/>
          <w:u w:val="single"/>
          <w:lang w:val="fi-FI"/>
        </w:rPr>
        <w:t xml:space="preserve"> </w:t>
      </w:r>
    </w:p>
    <w:p w14:paraId="7C6D0BAE" w14:textId="236A0228" w:rsidR="007A1B4A" w:rsidRPr="00103A30" w:rsidRDefault="007A1B4A" w:rsidP="00AD02AE">
      <w:pPr>
        <w:spacing w:after="0" w:line="240" w:lineRule="auto"/>
        <w:ind w:left="709" w:hanging="709"/>
        <w:jc w:val="both"/>
        <w:rPr>
          <w:rFonts w:ascii="Book Antiqua" w:hAnsi="Book Antiqua" w:cs="Times New Roman"/>
          <w:b/>
          <w:bCs/>
          <w:sz w:val="22"/>
          <w:szCs w:val="22"/>
          <w:lang w:val="fi-FI"/>
        </w:rPr>
      </w:pPr>
      <w:r w:rsidRPr="00103A30">
        <w:rPr>
          <w:rFonts w:ascii="Book Antiqua" w:hAnsi="Book Antiqua" w:cs="Times New Roman"/>
          <w:b/>
          <w:bCs/>
          <w:sz w:val="22"/>
          <w:szCs w:val="22"/>
          <w:lang w:val="fi-FI"/>
        </w:rPr>
        <w:t>Buku</w:t>
      </w:r>
    </w:p>
    <w:p w14:paraId="10539074" w14:textId="77777777" w:rsidR="00414414" w:rsidRPr="00103A30"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lang w:val="fi-FI"/>
        </w:rPr>
      </w:pPr>
      <w:r w:rsidRPr="00103A30">
        <w:rPr>
          <w:rFonts w:ascii="Book Antiqua" w:hAnsi="Book Antiqua" w:cs="Times New Roman"/>
          <w:noProof/>
          <w:kern w:val="0"/>
          <w:sz w:val="22"/>
          <w:szCs w:val="22"/>
          <w:lang w:val="fi-FI"/>
        </w:rPr>
        <w:t xml:space="preserve">Mustofa, Amirul. </w:t>
      </w:r>
      <w:r w:rsidRPr="00103A30">
        <w:rPr>
          <w:rFonts w:ascii="Book Antiqua" w:hAnsi="Book Antiqua" w:cs="Times New Roman"/>
          <w:i/>
          <w:iCs/>
          <w:noProof/>
          <w:kern w:val="0"/>
          <w:sz w:val="22"/>
          <w:szCs w:val="22"/>
          <w:lang w:val="fi-FI"/>
        </w:rPr>
        <w:t>EKONOMI POLITIK PEMBANGUNAN: KEBIJAKAN PRIVATISASI DAN ALIANSI POLITIK BUMN</w:t>
      </w:r>
      <w:r w:rsidRPr="00103A30">
        <w:rPr>
          <w:rFonts w:ascii="Book Antiqua" w:hAnsi="Book Antiqua" w:cs="Times New Roman"/>
          <w:noProof/>
          <w:kern w:val="0"/>
          <w:sz w:val="22"/>
          <w:szCs w:val="22"/>
          <w:lang w:val="fi-FI"/>
        </w:rPr>
        <w:t>. Surabaya: Unitomo Press, 2020.</w:t>
      </w:r>
    </w:p>
    <w:p w14:paraId="70D95A26" w14:textId="77777777" w:rsidR="00414414" w:rsidRPr="00103A30"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lang w:val="fi-FI"/>
        </w:rPr>
      </w:pPr>
      <w:r w:rsidRPr="00103A30">
        <w:rPr>
          <w:rFonts w:ascii="Book Antiqua" w:hAnsi="Book Antiqua" w:cs="Times New Roman"/>
          <w:noProof/>
          <w:kern w:val="0"/>
          <w:sz w:val="22"/>
          <w:szCs w:val="22"/>
          <w:lang w:val="fi-FI"/>
        </w:rPr>
        <w:t xml:space="preserve">Nachrawi, Gunawan. </w:t>
      </w:r>
      <w:r w:rsidRPr="00103A30">
        <w:rPr>
          <w:rFonts w:ascii="Book Antiqua" w:hAnsi="Book Antiqua" w:cs="Times New Roman"/>
          <w:i/>
          <w:iCs/>
          <w:noProof/>
          <w:kern w:val="0"/>
          <w:sz w:val="22"/>
          <w:szCs w:val="22"/>
          <w:lang w:val="fi-FI"/>
        </w:rPr>
        <w:t xml:space="preserve">BUMN Sebagai Usaha Pemerintah Menuju Kesejahteraan Rakyat Tinjauan Filosofis, Sosiologis, Politis Dan Yuridis </w:t>
      </w:r>
      <w:r w:rsidRPr="00103A30">
        <w:rPr>
          <w:rFonts w:ascii="Book Antiqua" w:hAnsi="Book Antiqua" w:cs="Times New Roman"/>
          <w:noProof/>
          <w:kern w:val="0"/>
          <w:sz w:val="22"/>
          <w:szCs w:val="22"/>
          <w:lang w:val="fi-FI"/>
        </w:rPr>
        <w:t>. bandung: Cendikia Press, 2021.</w:t>
      </w:r>
    </w:p>
    <w:p w14:paraId="5D6463DB" w14:textId="77777777" w:rsidR="00414414" w:rsidRPr="00103A30"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lang w:val="fi-FI"/>
        </w:rPr>
      </w:pPr>
      <w:r w:rsidRPr="00103A30">
        <w:rPr>
          <w:rFonts w:ascii="Book Antiqua" w:hAnsi="Book Antiqua" w:cs="Times New Roman"/>
          <w:noProof/>
          <w:kern w:val="0"/>
          <w:sz w:val="22"/>
          <w:szCs w:val="22"/>
          <w:lang w:val="fi-FI"/>
        </w:rPr>
        <w:t xml:space="preserve">Negara, Dharma Setiawan. </w:t>
      </w:r>
      <w:r w:rsidRPr="00103A30">
        <w:rPr>
          <w:rFonts w:ascii="Book Antiqua" w:hAnsi="Book Antiqua" w:cs="Times New Roman"/>
          <w:i/>
          <w:iCs/>
          <w:noProof/>
          <w:kern w:val="0"/>
          <w:sz w:val="22"/>
          <w:szCs w:val="22"/>
          <w:lang w:val="fi-FI"/>
        </w:rPr>
        <w:t>Holding Investasi Dan Holding Operasional Dalam Tata Kelola BUMN: Perspektif UU No. 1 Tahun 2025</w:t>
      </w:r>
      <w:r w:rsidRPr="00103A30">
        <w:rPr>
          <w:rFonts w:ascii="Book Antiqua" w:hAnsi="Book Antiqua" w:cs="Times New Roman"/>
          <w:noProof/>
          <w:kern w:val="0"/>
          <w:sz w:val="22"/>
          <w:szCs w:val="22"/>
          <w:lang w:val="fi-FI"/>
        </w:rPr>
        <w:t>. Surabaya: Cipta Media Nusantara (CMN), 2025.</w:t>
      </w:r>
    </w:p>
    <w:p w14:paraId="6AB55099" w14:textId="6F57B2BB" w:rsidR="00F642B0" w:rsidRPr="00103A30" w:rsidRDefault="00414414" w:rsidP="00AD02AE">
      <w:pPr>
        <w:spacing w:after="0" w:line="240" w:lineRule="auto"/>
        <w:ind w:left="709" w:hanging="709"/>
        <w:jc w:val="both"/>
        <w:rPr>
          <w:rFonts w:ascii="Book Antiqua" w:hAnsi="Book Antiqua" w:cs="Times New Roman"/>
          <w:noProof/>
          <w:kern w:val="0"/>
          <w:sz w:val="22"/>
          <w:szCs w:val="22"/>
          <w:lang w:val="fi-FI"/>
        </w:rPr>
      </w:pPr>
      <w:r w:rsidRPr="00103A30">
        <w:rPr>
          <w:rFonts w:ascii="Book Antiqua" w:hAnsi="Book Antiqua" w:cs="Times New Roman"/>
          <w:noProof/>
          <w:kern w:val="0"/>
          <w:sz w:val="22"/>
          <w:szCs w:val="22"/>
          <w:lang w:val="fi-FI"/>
        </w:rPr>
        <w:t xml:space="preserve">Novitasari, Tita. </w:t>
      </w:r>
      <w:r w:rsidRPr="00103A30">
        <w:rPr>
          <w:rFonts w:ascii="Book Antiqua" w:hAnsi="Book Antiqua" w:cs="Times New Roman"/>
          <w:i/>
          <w:iCs/>
          <w:noProof/>
          <w:kern w:val="0"/>
          <w:sz w:val="22"/>
          <w:szCs w:val="22"/>
          <w:lang w:val="fi-FI"/>
        </w:rPr>
        <w:t>Belajar Dari Asabri: Model Ideal Pengawasan Hukum Terhadap Asuransi Milik Negara</w:t>
      </w:r>
      <w:r w:rsidRPr="00103A30">
        <w:rPr>
          <w:rFonts w:ascii="Book Antiqua" w:hAnsi="Book Antiqua" w:cs="Times New Roman"/>
          <w:noProof/>
          <w:kern w:val="0"/>
          <w:sz w:val="22"/>
          <w:szCs w:val="22"/>
          <w:lang w:val="fi-FI"/>
        </w:rPr>
        <w:t>. Bandung: Widina Media Utama, 2025.</w:t>
      </w:r>
    </w:p>
    <w:p w14:paraId="1C9A4D3A" w14:textId="0359E6E2" w:rsidR="00F642B0"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Saebani, Beni Ahmad. </w:t>
      </w:r>
      <w:r w:rsidRPr="00AD02AE">
        <w:rPr>
          <w:rFonts w:ascii="Book Antiqua" w:hAnsi="Book Antiqua" w:cs="Times New Roman"/>
          <w:i/>
          <w:iCs/>
          <w:noProof/>
          <w:kern w:val="0"/>
          <w:sz w:val="22"/>
          <w:szCs w:val="22"/>
        </w:rPr>
        <w:t>Metode Penelitian Hukum Yuridis Normatif</w:t>
      </w:r>
      <w:r w:rsidRPr="00AD02AE">
        <w:rPr>
          <w:rFonts w:ascii="Book Antiqua" w:hAnsi="Book Antiqua" w:cs="Times New Roman"/>
          <w:noProof/>
          <w:kern w:val="0"/>
          <w:sz w:val="22"/>
          <w:szCs w:val="22"/>
        </w:rPr>
        <w:t>. bandung: CV Pustaka Setia, 2021.</w:t>
      </w:r>
    </w:p>
    <w:p w14:paraId="7C98BDB9"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p>
    <w:p w14:paraId="7B82CE51" w14:textId="053A285C" w:rsidR="00F642B0" w:rsidRPr="00AD02AE" w:rsidRDefault="00F642B0" w:rsidP="00AD02AE">
      <w:pPr>
        <w:spacing w:after="0" w:line="240" w:lineRule="auto"/>
        <w:ind w:left="709" w:hanging="709"/>
        <w:jc w:val="both"/>
        <w:rPr>
          <w:rFonts w:ascii="Book Antiqua" w:hAnsi="Book Antiqua" w:cs="Times New Roman"/>
          <w:b/>
          <w:bCs/>
          <w:sz w:val="22"/>
          <w:szCs w:val="22"/>
        </w:rPr>
      </w:pPr>
      <w:r w:rsidRPr="00AD02AE">
        <w:rPr>
          <w:rFonts w:ascii="Book Antiqua" w:hAnsi="Book Antiqua" w:cs="Times New Roman"/>
          <w:b/>
          <w:bCs/>
          <w:noProof/>
          <w:kern w:val="0"/>
          <w:sz w:val="22"/>
          <w:szCs w:val="22"/>
        </w:rPr>
        <w:t>Jurnal</w:t>
      </w:r>
    </w:p>
    <w:p w14:paraId="0330D8B5" w14:textId="77777777" w:rsidR="00414414" w:rsidRPr="00AD02AE" w:rsidRDefault="00320C37"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sz w:val="22"/>
          <w:szCs w:val="22"/>
          <w:u w:val="single"/>
        </w:rPr>
        <w:fldChar w:fldCharType="begin" w:fldLock="1"/>
      </w:r>
      <w:r w:rsidRPr="00AD02AE">
        <w:rPr>
          <w:rFonts w:ascii="Book Antiqua" w:hAnsi="Book Antiqua" w:cs="Times New Roman"/>
          <w:sz w:val="22"/>
          <w:szCs w:val="22"/>
          <w:u w:val="single"/>
        </w:rPr>
        <w:instrText xml:space="preserve">ADDIN Mendeley Bibliography CSL_BIBLIOGRAPHY </w:instrText>
      </w:r>
      <w:r w:rsidRPr="00AD02AE">
        <w:rPr>
          <w:rFonts w:ascii="Book Antiqua" w:hAnsi="Book Antiqua" w:cs="Times New Roman"/>
          <w:sz w:val="22"/>
          <w:szCs w:val="22"/>
          <w:u w:val="single"/>
        </w:rPr>
        <w:fldChar w:fldCharType="separate"/>
      </w:r>
      <w:r w:rsidR="00414414" w:rsidRPr="00AD02AE">
        <w:rPr>
          <w:rFonts w:ascii="Book Antiqua" w:hAnsi="Book Antiqua" w:cs="Times New Roman"/>
          <w:sz w:val="22"/>
          <w:szCs w:val="22"/>
          <w:u w:val="single"/>
        </w:rPr>
        <w:fldChar w:fldCharType="begin" w:fldLock="1"/>
      </w:r>
      <w:r w:rsidR="00414414" w:rsidRPr="00AD02AE">
        <w:rPr>
          <w:rFonts w:ascii="Book Antiqua" w:hAnsi="Book Antiqua" w:cs="Times New Roman"/>
          <w:sz w:val="22"/>
          <w:szCs w:val="22"/>
          <w:u w:val="single"/>
        </w:rPr>
        <w:instrText xml:space="preserve">ADDIN Mendeley Bibliography CSL_BIBLIOGRAPHY </w:instrText>
      </w:r>
      <w:r w:rsidR="00414414" w:rsidRPr="00AD02AE">
        <w:rPr>
          <w:rFonts w:ascii="Book Antiqua" w:hAnsi="Book Antiqua" w:cs="Times New Roman"/>
          <w:sz w:val="22"/>
          <w:szCs w:val="22"/>
          <w:u w:val="single"/>
        </w:rPr>
        <w:fldChar w:fldCharType="separate"/>
      </w:r>
      <w:r w:rsidR="00414414" w:rsidRPr="00AD02AE">
        <w:rPr>
          <w:rFonts w:ascii="Book Antiqua" w:hAnsi="Book Antiqua" w:cs="Times New Roman"/>
          <w:noProof/>
          <w:kern w:val="0"/>
          <w:sz w:val="22"/>
          <w:szCs w:val="22"/>
        </w:rPr>
        <w:t>Akbar, Muhammad Gary Gagarin. “REFORMULASI PENGATURAN KEDUDUKAN MANDIRI PERUSAHAAN PERSEROAN DALAM RANGKA MEWUJUDKAN GOOD CORPORATE GOVERNANCE,” 2023.</w:t>
      </w:r>
    </w:p>
    <w:p w14:paraId="03F643F7"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Anggara, Arya. “Limitation of Public Service Special Assignment Charges Bond in the Form of a BUMN Persero (State-Owned Enterprises).” </w:t>
      </w:r>
      <w:r w:rsidRPr="00AD02AE">
        <w:rPr>
          <w:rFonts w:ascii="Book Antiqua" w:hAnsi="Book Antiqua" w:cs="Times New Roman"/>
          <w:i/>
          <w:iCs/>
          <w:noProof/>
          <w:kern w:val="0"/>
          <w:sz w:val="22"/>
          <w:szCs w:val="22"/>
        </w:rPr>
        <w:t>Peradaban Hukum Nusantara</w:t>
      </w:r>
      <w:r w:rsidRPr="00AD02AE">
        <w:rPr>
          <w:rFonts w:ascii="Book Antiqua" w:hAnsi="Book Antiqua" w:cs="Times New Roman"/>
          <w:noProof/>
          <w:kern w:val="0"/>
          <w:sz w:val="22"/>
          <w:szCs w:val="22"/>
        </w:rPr>
        <w:t xml:space="preserve"> 1, no. 1 (2024): 96–113. https://doi.org/10.62193/ebsdrm65.</w:t>
      </w:r>
    </w:p>
    <w:p w14:paraId="199A14A8"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Arifardhani, Yoyo. “Kemandirian Badan Usaha Milik Negara: Pesinggungan Antara Hukum Privat Dan Hukum Publik.” </w:t>
      </w:r>
      <w:r w:rsidRPr="00AD02AE">
        <w:rPr>
          <w:rFonts w:ascii="Book Antiqua" w:hAnsi="Book Antiqua" w:cs="Times New Roman"/>
          <w:i/>
          <w:iCs/>
          <w:noProof/>
          <w:kern w:val="0"/>
          <w:sz w:val="22"/>
          <w:szCs w:val="22"/>
        </w:rPr>
        <w:t>Otentik’s: Jurnal Hukum Kenotariatan</w:t>
      </w:r>
      <w:r w:rsidRPr="00AD02AE">
        <w:rPr>
          <w:rFonts w:ascii="Book Antiqua" w:hAnsi="Book Antiqua" w:cs="Times New Roman"/>
          <w:noProof/>
          <w:kern w:val="0"/>
          <w:sz w:val="22"/>
          <w:szCs w:val="22"/>
        </w:rPr>
        <w:t xml:space="preserve"> 1, no. 1 (2019): 54–72.</w:t>
      </w:r>
    </w:p>
    <w:p w14:paraId="471724CC"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Asri Putri, Tiyas, and Tundjung Herning Sitabuana. “Pengawasan Pengelolaan Keuangan Negara Terhadap Badan Usaha Milik Negara (Bumn).” </w:t>
      </w:r>
      <w:r w:rsidRPr="00AD02AE">
        <w:rPr>
          <w:rFonts w:ascii="Book Antiqua" w:hAnsi="Book Antiqua" w:cs="Times New Roman"/>
          <w:i/>
          <w:iCs/>
          <w:noProof/>
          <w:kern w:val="0"/>
          <w:sz w:val="22"/>
          <w:szCs w:val="22"/>
        </w:rPr>
        <w:t>SIBATIK JOURNAL: Jurnal Ilmiah Bidang Sosial, Ekonomi, Budaya, Teknologi, Dan Pendidikan</w:t>
      </w:r>
      <w:r w:rsidRPr="00AD02AE">
        <w:rPr>
          <w:rFonts w:ascii="Book Antiqua" w:hAnsi="Book Antiqua" w:cs="Times New Roman"/>
          <w:noProof/>
          <w:kern w:val="0"/>
          <w:sz w:val="22"/>
          <w:szCs w:val="22"/>
        </w:rPr>
        <w:t xml:space="preserve"> 1, no. 7 (2022): 1003–18. https://doi.org/10.54443/sibatik.v1i7.118.</w:t>
      </w:r>
    </w:p>
    <w:p w14:paraId="5DEB8468"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Firmansyah, Amir, Aris Machmud, and Suparji Suparji. “Peran BUMN Sebagai Pilar Utama Ekonomi Nasional Yang Mandiri: Sebuah Kajian Hukum Korporasi.” </w:t>
      </w:r>
      <w:r w:rsidRPr="00AD02AE">
        <w:rPr>
          <w:rFonts w:ascii="Book Antiqua" w:hAnsi="Book Antiqua" w:cs="Times New Roman"/>
          <w:i/>
          <w:iCs/>
          <w:noProof/>
          <w:kern w:val="0"/>
          <w:sz w:val="22"/>
          <w:szCs w:val="22"/>
        </w:rPr>
        <w:t>Binamulia Hukum</w:t>
      </w:r>
      <w:r w:rsidRPr="00AD02AE">
        <w:rPr>
          <w:rFonts w:ascii="Book Antiqua" w:hAnsi="Book Antiqua" w:cs="Times New Roman"/>
          <w:noProof/>
          <w:kern w:val="0"/>
          <w:sz w:val="22"/>
          <w:szCs w:val="22"/>
        </w:rPr>
        <w:t xml:space="preserve"> 13, no. 2 (2024): 517–28. https://doi.org/10.37893/jbh.v13i2.952.</w:t>
      </w:r>
    </w:p>
    <w:p w14:paraId="2F43674B"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Hamidin, Siswantari Pratiwi, and Hartono. “Analisis Penerapan Prinsip Business Judgement Rule Terkait Dengan Pertanggung Jawaban Pidana Pada Direksi Badan Usaha Milik Negara (Bumn).” </w:t>
      </w:r>
      <w:r w:rsidRPr="00AD02AE">
        <w:rPr>
          <w:rFonts w:ascii="Book Antiqua" w:hAnsi="Book Antiqua" w:cs="Times New Roman"/>
          <w:i/>
          <w:iCs/>
          <w:noProof/>
          <w:kern w:val="0"/>
          <w:sz w:val="22"/>
          <w:szCs w:val="22"/>
        </w:rPr>
        <w:t>Yustisi</w:t>
      </w:r>
      <w:r w:rsidRPr="00AD02AE">
        <w:rPr>
          <w:rFonts w:ascii="Book Antiqua" w:hAnsi="Book Antiqua" w:cs="Times New Roman"/>
          <w:noProof/>
          <w:kern w:val="0"/>
          <w:sz w:val="22"/>
          <w:szCs w:val="22"/>
        </w:rPr>
        <w:t xml:space="preserve"> 11, no. 2 (2024): 343–57. https://doi.org/10.32832/yustisi.v11i2.16690.</w:t>
      </w:r>
    </w:p>
    <w:p w14:paraId="3C656C5B" w14:textId="0AB3552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lastRenderedPageBreak/>
        <w:t>Mifta, Arifin. “Membangun Konsep Hukum Tanggung Jawab Sosial Perusahaan ( Corporate Social Responsibility ) Melalui Pendekatan Kesejahteraan Sosial,” 2022.</w:t>
      </w:r>
    </w:p>
    <w:p w14:paraId="19FABFA5"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Purnama, Agustinus Dwi Purnama, Anhar Fauzan Priyono, and Sutyastie Soemitro Remi. “Tata Kelola Bumn Dan Pertumbuhan Ekonomi Menurut Klaster Lapangan Usaha Perusahaan Negara Di Indonesia.” </w:t>
      </w:r>
      <w:r w:rsidRPr="00AD02AE">
        <w:rPr>
          <w:rFonts w:ascii="Book Antiqua" w:hAnsi="Book Antiqua" w:cs="Times New Roman"/>
          <w:i/>
          <w:iCs/>
          <w:noProof/>
          <w:kern w:val="0"/>
          <w:sz w:val="22"/>
          <w:szCs w:val="22"/>
        </w:rPr>
        <w:t>E-JURNAL EKONOMI DAN BISNIS UNIVERSITAS UDAYANA</w:t>
      </w:r>
      <w:r w:rsidRPr="00AD02AE">
        <w:rPr>
          <w:rFonts w:ascii="Book Antiqua" w:hAnsi="Book Antiqua" w:cs="Times New Roman"/>
          <w:noProof/>
          <w:kern w:val="0"/>
          <w:sz w:val="22"/>
          <w:szCs w:val="22"/>
        </w:rPr>
        <w:t xml:space="preserve"> 12, no. 02 (2023): 261–73.</w:t>
      </w:r>
    </w:p>
    <w:p w14:paraId="4396D596"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Puti Surahati Tarigan, Maya Macia Sari, Iqbal Purnama, and Tri Sumarti. “Korelasi Dan Implementasi Good Corporate Governance Tentang Kinerja Financial Dan Dampaknya Pada Pelayanan Publik Perusahaan Swasta , Rumah Sakit, Pemerintahan, BUMN Serta Perguruan Tinggi.” </w:t>
      </w:r>
      <w:r w:rsidRPr="00AD02AE">
        <w:rPr>
          <w:rFonts w:ascii="Book Antiqua" w:hAnsi="Book Antiqua" w:cs="Times New Roman"/>
          <w:i/>
          <w:iCs/>
          <w:noProof/>
          <w:kern w:val="0"/>
          <w:sz w:val="22"/>
          <w:szCs w:val="22"/>
        </w:rPr>
        <w:t>Jurnal Kajian Dan Penalaran Ilmu Manajemen</w:t>
      </w:r>
      <w:r w:rsidRPr="00AD02AE">
        <w:rPr>
          <w:rFonts w:ascii="Book Antiqua" w:hAnsi="Book Antiqua" w:cs="Times New Roman"/>
          <w:noProof/>
          <w:kern w:val="0"/>
          <w:sz w:val="22"/>
          <w:szCs w:val="22"/>
        </w:rPr>
        <w:t xml:space="preserve"> 2, no. 2 (2024): 10–24. https://doi.org/10.59031/jkpim.v2i2.385.</w:t>
      </w:r>
    </w:p>
    <w:p w14:paraId="0C8CC19F"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Rasji, and Erick Darmansyah. “ANALISIS HUKUM TERHADAP PERLUASANHAK MONOPOLI KEPADA BADAN USAHA MILIK NEGARA OLEH PRESIDEN: KAJIAN BERDASARKAN PERSPEKTIF FILSAFAT HUKUM.” </w:t>
      </w:r>
      <w:r w:rsidRPr="00AD02AE">
        <w:rPr>
          <w:rFonts w:ascii="Book Antiqua" w:hAnsi="Book Antiqua" w:cs="Times New Roman"/>
          <w:i/>
          <w:iCs/>
          <w:noProof/>
          <w:kern w:val="0"/>
          <w:sz w:val="22"/>
          <w:szCs w:val="22"/>
        </w:rPr>
        <w:t>Rewang Rencang</w:t>
      </w:r>
      <w:r w:rsidRPr="00AD02AE">
        <w:rPr>
          <w:rFonts w:ascii="Times New Roman" w:hAnsi="Times New Roman" w:cs="Times New Roman"/>
          <w:i/>
          <w:iCs/>
          <w:noProof/>
          <w:kern w:val="0"/>
          <w:sz w:val="22"/>
          <w:szCs w:val="22"/>
        </w:rPr>
        <w:t> </w:t>
      </w:r>
      <w:r w:rsidRPr="00AD02AE">
        <w:rPr>
          <w:rFonts w:ascii="Book Antiqua" w:hAnsi="Book Antiqua" w:cs="Times New Roman"/>
          <w:i/>
          <w:iCs/>
          <w:noProof/>
          <w:kern w:val="0"/>
          <w:sz w:val="22"/>
          <w:szCs w:val="22"/>
        </w:rPr>
        <w:t>: Jurnal Hukum Lex Generalis</w:t>
      </w:r>
      <w:r w:rsidRPr="00AD02AE">
        <w:rPr>
          <w:rFonts w:ascii="Book Antiqua" w:hAnsi="Book Antiqua" w:cs="Times New Roman"/>
          <w:noProof/>
          <w:kern w:val="0"/>
          <w:sz w:val="22"/>
          <w:szCs w:val="22"/>
        </w:rPr>
        <w:t xml:space="preserve"> 5, no. 10 (2024): 1–15.</w:t>
      </w:r>
    </w:p>
    <w:p w14:paraId="0EECBA58"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Sandi, Meidy Yanto, Muhammad Hadin Muhjad, and Akhmad Syaufi. “Kekayaan Negara Yang Dipisahkan Dalam Badan Usaha Milik Negara (BUMN) Dalam Bentuk Persero.” </w:t>
      </w:r>
      <w:r w:rsidRPr="00AD02AE">
        <w:rPr>
          <w:rFonts w:ascii="Book Antiqua" w:hAnsi="Book Antiqua" w:cs="Times New Roman"/>
          <w:i/>
          <w:iCs/>
          <w:noProof/>
          <w:kern w:val="0"/>
          <w:sz w:val="22"/>
          <w:szCs w:val="22"/>
        </w:rPr>
        <w:t>Notary Law Journal</w:t>
      </w:r>
      <w:r w:rsidRPr="00AD02AE">
        <w:rPr>
          <w:rFonts w:ascii="Book Antiqua" w:hAnsi="Book Antiqua" w:cs="Times New Roman"/>
          <w:noProof/>
          <w:kern w:val="0"/>
          <w:sz w:val="22"/>
          <w:szCs w:val="22"/>
        </w:rPr>
        <w:t xml:space="preserve"> 2, no. 3 (2023): 181–202.</w:t>
      </w:r>
    </w:p>
    <w:p w14:paraId="2AB583AF"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 xml:space="preserve">Supriajat, Atep Wahyu, and I Gede Agus Kurniawan. “The Independence of State-Owned Enterprises Following the Enactment of Law No. 1 of 2025, Reviewed from a Business Law Perspective.” </w:t>
      </w:r>
      <w:r w:rsidRPr="00AD02AE">
        <w:rPr>
          <w:rFonts w:ascii="Book Antiqua" w:hAnsi="Book Antiqua" w:cs="Times New Roman"/>
          <w:i/>
          <w:iCs/>
          <w:noProof/>
          <w:kern w:val="0"/>
          <w:sz w:val="22"/>
          <w:szCs w:val="22"/>
        </w:rPr>
        <w:t>PENAJUSTISIA:MEDIAKOMUNIKASIDANKAJIANHUKUM</w:t>
      </w:r>
      <w:r w:rsidRPr="00AD02AE">
        <w:rPr>
          <w:rFonts w:ascii="Book Antiqua" w:hAnsi="Book Antiqua" w:cs="Times New Roman"/>
          <w:noProof/>
          <w:kern w:val="0"/>
          <w:sz w:val="22"/>
          <w:szCs w:val="22"/>
        </w:rPr>
        <w:t xml:space="preserve"> 24, no. 2 (2025): 7152–69.</w:t>
      </w:r>
    </w:p>
    <w:p w14:paraId="10898F84"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noProof/>
          <w:kern w:val="0"/>
          <w:sz w:val="22"/>
          <w:szCs w:val="22"/>
        </w:rPr>
      </w:pPr>
      <w:r w:rsidRPr="00AD02AE">
        <w:rPr>
          <w:rFonts w:ascii="Book Antiqua" w:hAnsi="Book Antiqua" w:cs="Times New Roman"/>
          <w:noProof/>
          <w:kern w:val="0"/>
          <w:sz w:val="22"/>
          <w:szCs w:val="22"/>
        </w:rPr>
        <w:t>Yunus, Achmad. “MENGUATKAN AKAR FILOSOFIS BUMN DALAM ARUS INDUSTRIALISASI</w:t>
      </w:r>
      <w:r w:rsidRPr="00AD02AE">
        <w:rPr>
          <w:rFonts w:ascii="Times New Roman" w:hAnsi="Times New Roman" w:cs="Times New Roman"/>
          <w:noProof/>
          <w:kern w:val="0"/>
          <w:sz w:val="22"/>
          <w:szCs w:val="22"/>
        </w:rPr>
        <w:t> </w:t>
      </w:r>
      <w:r w:rsidRPr="00AD02AE">
        <w:rPr>
          <w:rFonts w:ascii="Book Antiqua" w:hAnsi="Book Antiqua" w:cs="Times New Roman"/>
          <w:noProof/>
          <w:kern w:val="0"/>
          <w:sz w:val="22"/>
          <w:szCs w:val="22"/>
        </w:rPr>
        <w:t xml:space="preserve">: Kritik Terhadap Basis Pemikiran Era Revolusi Industri.” </w:t>
      </w:r>
      <w:r w:rsidRPr="00AD02AE">
        <w:rPr>
          <w:rFonts w:ascii="Book Antiqua" w:hAnsi="Book Antiqua" w:cs="Times New Roman"/>
          <w:i/>
          <w:iCs/>
          <w:noProof/>
          <w:kern w:val="0"/>
          <w:sz w:val="22"/>
          <w:szCs w:val="22"/>
        </w:rPr>
        <w:t>Jurnal Jurisprudence</w:t>
      </w:r>
      <w:r w:rsidRPr="00AD02AE">
        <w:rPr>
          <w:rFonts w:ascii="Book Antiqua" w:hAnsi="Book Antiqua" w:cs="Times New Roman"/>
          <w:noProof/>
          <w:kern w:val="0"/>
          <w:sz w:val="22"/>
          <w:szCs w:val="22"/>
        </w:rPr>
        <w:t xml:space="preserve"> 9, no. 1 (2019): 17–38. https://doi.org/10.23917/jjr.v9i1.8092.</w:t>
      </w:r>
    </w:p>
    <w:p w14:paraId="0853849D" w14:textId="77777777" w:rsidR="00414414" w:rsidRPr="00AD02AE" w:rsidRDefault="00414414" w:rsidP="00AD02AE">
      <w:pPr>
        <w:widowControl w:val="0"/>
        <w:autoSpaceDE w:val="0"/>
        <w:autoSpaceDN w:val="0"/>
        <w:adjustRightInd w:val="0"/>
        <w:spacing w:after="0" w:line="240" w:lineRule="auto"/>
        <w:ind w:left="709" w:hanging="709"/>
        <w:jc w:val="both"/>
        <w:rPr>
          <w:rFonts w:ascii="Book Antiqua" w:hAnsi="Book Antiqua"/>
          <w:noProof/>
          <w:sz w:val="22"/>
          <w:szCs w:val="22"/>
        </w:rPr>
      </w:pPr>
      <w:r w:rsidRPr="00AD02AE">
        <w:rPr>
          <w:rFonts w:ascii="Book Antiqua" w:hAnsi="Book Antiqua" w:cs="Times New Roman"/>
          <w:noProof/>
          <w:kern w:val="0"/>
          <w:sz w:val="22"/>
          <w:szCs w:val="22"/>
        </w:rPr>
        <w:t xml:space="preserve">Zainuddin, Muhammad, and Aisyah Dinda Karina. “Penggunaan Metode Yuridis Normatif Dalam Membuktikan Kebenaran Pada Penelitian Hukum.” </w:t>
      </w:r>
      <w:r w:rsidRPr="00AD02AE">
        <w:rPr>
          <w:rFonts w:ascii="Book Antiqua" w:hAnsi="Book Antiqua" w:cs="Times New Roman"/>
          <w:i/>
          <w:iCs/>
          <w:noProof/>
          <w:kern w:val="0"/>
          <w:sz w:val="22"/>
          <w:szCs w:val="22"/>
        </w:rPr>
        <w:t>Smart Law Journal</w:t>
      </w:r>
      <w:r w:rsidRPr="00AD02AE">
        <w:rPr>
          <w:rFonts w:ascii="Book Antiqua" w:hAnsi="Book Antiqua" w:cs="Times New Roman"/>
          <w:noProof/>
          <w:kern w:val="0"/>
          <w:sz w:val="22"/>
          <w:szCs w:val="22"/>
        </w:rPr>
        <w:t xml:space="preserve"> 2, no. 2 (2023): 114–23. https://journal.unkaha.com/index.php/slj/article/view/26.</w:t>
      </w:r>
    </w:p>
    <w:p w14:paraId="1C51C027" w14:textId="07131D5B" w:rsidR="00320C37" w:rsidRPr="00AD02AE" w:rsidRDefault="00414414" w:rsidP="00AD02AE">
      <w:pPr>
        <w:widowControl w:val="0"/>
        <w:autoSpaceDE w:val="0"/>
        <w:autoSpaceDN w:val="0"/>
        <w:adjustRightInd w:val="0"/>
        <w:spacing w:after="0" w:line="240" w:lineRule="auto"/>
        <w:ind w:left="709" w:hanging="709"/>
        <w:jc w:val="both"/>
        <w:rPr>
          <w:rFonts w:ascii="Book Antiqua" w:hAnsi="Book Antiqua" w:cs="Times New Roman"/>
          <w:sz w:val="22"/>
          <w:szCs w:val="22"/>
          <w:u w:val="single"/>
        </w:rPr>
      </w:pPr>
      <w:r w:rsidRPr="00AD02AE">
        <w:rPr>
          <w:rFonts w:ascii="Book Antiqua" w:hAnsi="Book Antiqua" w:cs="Times New Roman"/>
          <w:sz w:val="22"/>
          <w:szCs w:val="22"/>
          <w:u w:val="single"/>
        </w:rPr>
        <w:fldChar w:fldCharType="end"/>
      </w:r>
      <w:r w:rsidR="00320C37" w:rsidRPr="00AD02AE">
        <w:rPr>
          <w:rFonts w:ascii="Book Antiqua" w:hAnsi="Book Antiqua" w:cs="Times New Roman"/>
          <w:sz w:val="22"/>
          <w:szCs w:val="22"/>
          <w:u w:val="single"/>
        </w:rPr>
        <w:fldChar w:fldCharType="end"/>
      </w:r>
    </w:p>
    <w:p w14:paraId="151E7B73" w14:textId="460F53A6" w:rsidR="007D7623" w:rsidRPr="00AD02AE" w:rsidRDefault="007D7623" w:rsidP="00AD02AE">
      <w:pPr>
        <w:spacing w:after="0" w:line="240" w:lineRule="auto"/>
        <w:ind w:left="709" w:hanging="709"/>
        <w:jc w:val="both"/>
        <w:rPr>
          <w:rFonts w:ascii="Book Antiqua" w:hAnsi="Book Antiqua" w:cs="Times New Roman"/>
          <w:b/>
          <w:bCs/>
          <w:sz w:val="22"/>
          <w:szCs w:val="22"/>
        </w:rPr>
      </w:pPr>
      <w:r w:rsidRPr="00AD02AE">
        <w:rPr>
          <w:rFonts w:ascii="Book Antiqua" w:hAnsi="Book Antiqua" w:cs="Times New Roman"/>
          <w:b/>
          <w:bCs/>
          <w:sz w:val="22"/>
          <w:szCs w:val="22"/>
        </w:rPr>
        <w:t>Peraturan Perundang-Undangan</w:t>
      </w:r>
    </w:p>
    <w:p w14:paraId="7BC10CDD" w14:textId="0527E97A" w:rsidR="007D7623" w:rsidRPr="00AD02AE" w:rsidRDefault="007D7623" w:rsidP="00AD02AE">
      <w:pPr>
        <w:spacing w:after="0" w:line="240" w:lineRule="auto"/>
        <w:ind w:left="709" w:hanging="709"/>
        <w:jc w:val="both"/>
        <w:rPr>
          <w:rFonts w:ascii="Book Antiqua" w:hAnsi="Book Antiqua" w:cs="Times New Roman"/>
          <w:sz w:val="22"/>
          <w:szCs w:val="22"/>
          <w:lang w:val="da-DK"/>
        </w:rPr>
      </w:pPr>
      <w:r w:rsidRPr="00AD02AE">
        <w:rPr>
          <w:rFonts w:ascii="Book Antiqua" w:hAnsi="Book Antiqua" w:cs="Times New Roman"/>
          <w:sz w:val="22"/>
          <w:szCs w:val="22"/>
          <w:lang w:val="da-DK"/>
        </w:rPr>
        <w:t>Undang-</w:t>
      </w:r>
      <w:r w:rsidR="00414414" w:rsidRPr="00AD02AE">
        <w:rPr>
          <w:rFonts w:ascii="Book Antiqua" w:hAnsi="Book Antiqua" w:cs="Times New Roman"/>
          <w:sz w:val="22"/>
          <w:szCs w:val="22"/>
          <w:lang w:val="da-DK"/>
        </w:rPr>
        <w:t>U</w:t>
      </w:r>
      <w:r w:rsidRPr="00AD02AE">
        <w:rPr>
          <w:rFonts w:ascii="Book Antiqua" w:hAnsi="Book Antiqua" w:cs="Times New Roman"/>
          <w:sz w:val="22"/>
          <w:szCs w:val="22"/>
          <w:lang w:val="da-DK"/>
        </w:rPr>
        <w:t xml:space="preserve">ndang Nomor 1 Tahun 2025 tentang Perubahan Ketiga atas Undang-Undang Nomor </w:t>
      </w:r>
      <w:r w:rsidR="00DD474E" w:rsidRPr="00AD02AE">
        <w:rPr>
          <w:rFonts w:ascii="Book Antiqua" w:hAnsi="Book Antiqua" w:cs="Times New Roman"/>
          <w:sz w:val="22"/>
          <w:szCs w:val="22"/>
          <w:lang w:val="da-DK"/>
        </w:rPr>
        <w:t xml:space="preserve">Nomor </w:t>
      </w:r>
      <w:r w:rsidRPr="00AD02AE">
        <w:rPr>
          <w:rFonts w:ascii="Book Antiqua" w:hAnsi="Book Antiqua" w:cs="Times New Roman"/>
          <w:sz w:val="22"/>
          <w:szCs w:val="22"/>
          <w:lang w:val="da-DK"/>
        </w:rPr>
        <w:t>19 Tahun 2003 tentang Badan Usaha Milik Negara.</w:t>
      </w:r>
    </w:p>
    <w:p w14:paraId="50053CD1" w14:textId="77777777" w:rsidR="007D7623" w:rsidRPr="00AD02AE" w:rsidRDefault="007D7623" w:rsidP="00AD02AE">
      <w:pPr>
        <w:spacing w:after="0" w:line="240" w:lineRule="auto"/>
        <w:ind w:left="709" w:hanging="709"/>
        <w:jc w:val="both"/>
        <w:rPr>
          <w:rFonts w:ascii="Book Antiqua" w:hAnsi="Book Antiqua" w:cs="Times New Roman"/>
          <w:sz w:val="22"/>
          <w:szCs w:val="22"/>
          <w:lang w:val="da-DK"/>
        </w:rPr>
      </w:pPr>
      <w:r w:rsidRPr="00AD02AE">
        <w:rPr>
          <w:rFonts w:ascii="Book Antiqua" w:hAnsi="Book Antiqua" w:cs="Times New Roman"/>
          <w:sz w:val="22"/>
          <w:szCs w:val="22"/>
          <w:lang w:val="da-DK"/>
        </w:rPr>
        <w:t>Undang-Undang Nomor 40 Tahun 2007 tentang Perseroan Terbatas.</w:t>
      </w:r>
    </w:p>
    <w:p w14:paraId="678010B9" w14:textId="77777777" w:rsidR="007D7623" w:rsidRPr="00AD02AE" w:rsidRDefault="007D7623" w:rsidP="00AD02AE">
      <w:pPr>
        <w:spacing w:after="0" w:line="240" w:lineRule="auto"/>
        <w:ind w:left="709" w:hanging="709"/>
        <w:jc w:val="both"/>
        <w:rPr>
          <w:rFonts w:ascii="Book Antiqua" w:hAnsi="Book Antiqua" w:cs="Times New Roman"/>
          <w:sz w:val="22"/>
          <w:szCs w:val="22"/>
          <w:lang w:val="da-DK"/>
        </w:rPr>
      </w:pPr>
      <w:r w:rsidRPr="00AD02AE">
        <w:rPr>
          <w:rFonts w:ascii="Book Antiqua" w:hAnsi="Book Antiqua" w:cs="Times New Roman"/>
          <w:sz w:val="22"/>
          <w:szCs w:val="22"/>
          <w:lang w:val="da-DK"/>
        </w:rPr>
        <w:t>Undang-Undang Nomor 17 Tahun 2003 tentang Keuangan Negara.</w:t>
      </w:r>
    </w:p>
    <w:p w14:paraId="50813C50" w14:textId="357DD16D" w:rsidR="007D7623" w:rsidRPr="00AD02AE" w:rsidRDefault="007D7623" w:rsidP="00AD02AE">
      <w:pPr>
        <w:spacing w:after="0" w:line="240" w:lineRule="auto"/>
        <w:ind w:left="709" w:hanging="709"/>
        <w:jc w:val="both"/>
        <w:rPr>
          <w:rFonts w:ascii="Book Antiqua" w:hAnsi="Book Antiqua" w:cs="Times New Roman"/>
          <w:sz w:val="22"/>
          <w:szCs w:val="22"/>
          <w:lang w:val="da-DK"/>
        </w:rPr>
      </w:pPr>
      <w:r w:rsidRPr="00AD02AE">
        <w:rPr>
          <w:rFonts w:ascii="Book Antiqua" w:hAnsi="Book Antiqua" w:cs="Times New Roman"/>
          <w:sz w:val="22"/>
          <w:szCs w:val="22"/>
          <w:lang w:val="da-DK"/>
        </w:rPr>
        <w:t>Undang-Undang Nomor 15 Tahun 2006 tentang Badan Pemeriksa Keuangan.</w:t>
      </w:r>
    </w:p>
    <w:p w14:paraId="567F37AC" w14:textId="13DC3CE9" w:rsidR="00414414" w:rsidRPr="00AD02AE" w:rsidRDefault="00414414" w:rsidP="00AD02AE">
      <w:pPr>
        <w:spacing w:after="0" w:line="240" w:lineRule="auto"/>
        <w:ind w:left="709" w:hanging="709"/>
        <w:jc w:val="both"/>
        <w:rPr>
          <w:rFonts w:ascii="Book Antiqua" w:hAnsi="Book Antiqua" w:cs="Times New Roman"/>
          <w:sz w:val="22"/>
          <w:szCs w:val="22"/>
        </w:rPr>
      </w:pPr>
      <w:r w:rsidRPr="00AD02AE">
        <w:rPr>
          <w:rFonts w:ascii="Book Antiqua" w:hAnsi="Book Antiqua" w:cs="Times New Roman"/>
          <w:sz w:val="22"/>
          <w:szCs w:val="22"/>
          <w:lang w:val="da-DK"/>
        </w:rPr>
        <w:t xml:space="preserve">Undang-Undang Nomor 28 Tahun 1999 tentang </w:t>
      </w:r>
      <w:r w:rsidRPr="00AD02AE">
        <w:rPr>
          <w:rFonts w:ascii="Book Antiqua" w:hAnsi="Book Antiqua" w:cs="Times New Roman"/>
          <w:sz w:val="22"/>
          <w:szCs w:val="22"/>
        </w:rPr>
        <w:t>Penyelenggara Negara yang Bersih dan Bebas dari Korupsi, Kolusi dan Nepotisme.</w:t>
      </w:r>
    </w:p>
    <w:p w14:paraId="1E5B4CE8" w14:textId="41817A1F" w:rsidR="00CC343F" w:rsidRPr="00AD02AE" w:rsidRDefault="00CC343F" w:rsidP="00AD02AE">
      <w:pPr>
        <w:spacing w:after="0" w:line="240" w:lineRule="auto"/>
        <w:ind w:left="709" w:hanging="709"/>
        <w:jc w:val="both"/>
        <w:rPr>
          <w:rFonts w:ascii="Book Antiqua" w:hAnsi="Book Antiqua" w:cs="Times New Roman"/>
          <w:sz w:val="22"/>
          <w:szCs w:val="22"/>
        </w:rPr>
      </w:pPr>
      <w:r w:rsidRPr="00AD02AE">
        <w:rPr>
          <w:rFonts w:ascii="Book Antiqua" w:hAnsi="Book Antiqua" w:cs="Times New Roman"/>
          <w:sz w:val="22"/>
          <w:szCs w:val="22"/>
        </w:rPr>
        <w:t>Undang-Undang Nomor 31 Tahun 1999 tentang Pemberantasan Tindak Pidana Korupsi.</w:t>
      </w:r>
    </w:p>
    <w:sectPr w:rsidR="00CC343F" w:rsidRPr="00AD02AE" w:rsidSect="00AD02AE">
      <w:headerReference w:type="default" r:id="rId11"/>
      <w:footerReference w:type="default" r:id="rId12"/>
      <w:footerReference w:type="first" r:id="rId13"/>
      <w:pgSz w:w="11907" w:h="16840" w:code="9"/>
      <w:pgMar w:top="1701" w:right="1701" w:bottom="1701" w:left="1701" w:header="720" w:footer="720" w:gutter="0"/>
      <w:pgNumType w:start="22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35996" w14:textId="77777777" w:rsidR="00843DF4" w:rsidRDefault="00843DF4" w:rsidP="007C1E0E">
      <w:pPr>
        <w:spacing w:after="0" w:line="240" w:lineRule="auto"/>
      </w:pPr>
      <w:r>
        <w:separator/>
      </w:r>
    </w:p>
  </w:endnote>
  <w:endnote w:type="continuationSeparator" w:id="0">
    <w:p w14:paraId="0262DA8E" w14:textId="77777777" w:rsidR="00843DF4" w:rsidRDefault="00843DF4" w:rsidP="007C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490736"/>
      <w:docPartObj>
        <w:docPartGallery w:val="Page Numbers (Bottom of Page)"/>
        <w:docPartUnique/>
      </w:docPartObj>
    </w:sdtPr>
    <w:sdtEndPr>
      <w:rPr>
        <w:rFonts w:ascii="Times New Roman" w:hAnsi="Times New Roman" w:cs="Times New Roman"/>
        <w:noProof/>
        <w:sz w:val="20"/>
        <w:szCs w:val="20"/>
      </w:rPr>
    </w:sdtEndPr>
    <w:sdtContent>
      <w:p w14:paraId="1AEEFD4A" w14:textId="58556712" w:rsidR="003A7613" w:rsidRPr="003A7613" w:rsidRDefault="003A7613">
        <w:pPr>
          <w:pStyle w:val="Footer"/>
          <w:jc w:val="right"/>
          <w:rPr>
            <w:rFonts w:ascii="Times New Roman" w:hAnsi="Times New Roman" w:cs="Times New Roman"/>
            <w:sz w:val="20"/>
            <w:szCs w:val="20"/>
          </w:rPr>
        </w:pPr>
        <w:r w:rsidRPr="00AD02AE">
          <w:rPr>
            <w:rFonts w:ascii="Times New Roman" w:hAnsi="Times New Roman" w:cs="Times New Roman"/>
            <w:i/>
            <w:sz w:val="20"/>
            <w:szCs w:val="20"/>
            <w:lang w:val="id-ID"/>
          </w:rPr>
          <w:t>Jurnal</w:t>
        </w:r>
        <w:r w:rsidRPr="00AD02AE">
          <w:rPr>
            <w:rFonts w:ascii="Times New Roman" w:hAnsi="Times New Roman" w:cs="Times New Roman"/>
            <w:i/>
            <w:sz w:val="20"/>
            <w:szCs w:val="20"/>
          </w:rPr>
          <w:t xml:space="preserve"> Kertha Semaya</w:t>
        </w:r>
        <w:r w:rsidRPr="00AD02AE">
          <w:rPr>
            <w:rFonts w:ascii="Times New Roman" w:hAnsi="Times New Roman" w:cs="Times New Roman"/>
            <w:i/>
            <w:sz w:val="20"/>
            <w:szCs w:val="20"/>
            <w:lang w:val="id-ID"/>
          </w:rPr>
          <w:t xml:space="preserve">, Vol. </w:t>
        </w:r>
        <w:r w:rsidRPr="00AD02AE">
          <w:rPr>
            <w:rFonts w:ascii="Times New Roman" w:hAnsi="Times New Roman" w:cs="Times New Roman"/>
            <w:i/>
            <w:sz w:val="20"/>
            <w:szCs w:val="20"/>
          </w:rPr>
          <w:t>13</w:t>
        </w:r>
        <w:r w:rsidRPr="00AD02AE">
          <w:rPr>
            <w:rFonts w:ascii="Times New Roman" w:hAnsi="Times New Roman" w:cs="Times New Roman"/>
            <w:i/>
            <w:sz w:val="20"/>
            <w:szCs w:val="20"/>
            <w:lang w:val="id-ID"/>
          </w:rPr>
          <w:t xml:space="preserve"> No. 10</w:t>
        </w:r>
        <w:r w:rsidRPr="00AD02AE">
          <w:rPr>
            <w:rFonts w:ascii="Times New Roman" w:hAnsi="Times New Roman" w:cs="Times New Roman"/>
            <w:i/>
            <w:sz w:val="20"/>
            <w:szCs w:val="20"/>
          </w:rPr>
          <w:t xml:space="preserve"> Tahun 2025</w:t>
        </w:r>
        <w:r w:rsidRPr="00AD02AE">
          <w:rPr>
            <w:rFonts w:ascii="Times New Roman" w:hAnsi="Times New Roman" w:cs="Times New Roman"/>
            <w:i/>
            <w:sz w:val="20"/>
            <w:szCs w:val="20"/>
            <w:lang w:val="id-ID"/>
          </w:rPr>
          <w:t xml:space="preserve">, hlm. </w:t>
        </w:r>
        <w:r w:rsidRPr="00AD02AE">
          <w:rPr>
            <w:rFonts w:ascii="Times New Roman" w:hAnsi="Times New Roman" w:cs="Times New Roman"/>
            <w:i/>
            <w:sz w:val="20"/>
            <w:szCs w:val="20"/>
          </w:rPr>
          <w:t>22</w:t>
        </w:r>
        <w:r w:rsidR="00B6359C">
          <w:rPr>
            <w:rFonts w:ascii="Times New Roman" w:hAnsi="Times New Roman" w:cs="Times New Roman"/>
            <w:i/>
            <w:sz w:val="20"/>
            <w:szCs w:val="20"/>
          </w:rPr>
          <w:t>26</w:t>
        </w:r>
        <w:r w:rsidRPr="00AD02AE">
          <w:rPr>
            <w:rFonts w:ascii="Times New Roman" w:hAnsi="Times New Roman" w:cs="Times New Roman"/>
            <w:i/>
            <w:sz w:val="20"/>
            <w:szCs w:val="20"/>
          </w:rPr>
          <w:t>-22</w:t>
        </w:r>
        <w:r>
          <w:rPr>
            <w:rFonts w:ascii="Times New Roman" w:hAnsi="Times New Roman" w:cs="Times New Roman"/>
            <w:i/>
            <w:sz w:val="20"/>
            <w:szCs w:val="20"/>
          </w:rPr>
          <w:t>40</w:t>
        </w:r>
        <w:r>
          <w:rPr>
            <w:rFonts w:ascii="Times New Roman" w:hAnsi="Times New Roman" w:cs="Times New Roman"/>
            <w:i/>
            <w:sz w:val="20"/>
            <w:szCs w:val="20"/>
          </w:rPr>
          <w:tab/>
        </w:r>
        <w:r w:rsidRPr="003A7613">
          <w:rPr>
            <w:rFonts w:ascii="Times New Roman" w:hAnsi="Times New Roman" w:cs="Times New Roman"/>
            <w:sz w:val="20"/>
            <w:szCs w:val="20"/>
          </w:rPr>
          <w:fldChar w:fldCharType="begin"/>
        </w:r>
        <w:r w:rsidRPr="003A7613">
          <w:rPr>
            <w:rFonts w:ascii="Times New Roman" w:hAnsi="Times New Roman" w:cs="Times New Roman"/>
            <w:sz w:val="20"/>
            <w:szCs w:val="20"/>
          </w:rPr>
          <w:instrText xml:space="preserve"> PAGE   \* MERGEFORMAT </w:instrText>
        </w:r>
        <w:r w:rsidRPr="003A7613">
          <w:rPr>
            <w:rFonts w:ascii="Times New Roman" w:hAnsi="Times New Roman" w:cs="Times New Roman"/>
            <w:sz w:val="20"/>
            <w:szCs w:val="20"/>
          </w:rPr>
          <w:fldChar w:fldCharType="separate"/>
        </w:r>
        <w:r w:rsidRPr="003A7613">
          <w:rPr>
            <w:rFonts w:ascii="Times New Roman" w:hAnsi="Times New Roman" w:cs="Times New Roman"/>
            <w:noProof/>
            <w:sz w:val="20"/>
            <w:szCs w:val="20"/>
          </w:rPr>
          <w:t>2</w:t>
        </w:r>
        <w:r w:rsidRPr="003A76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090965"/>
      <w:docPartObj>
        <w:docPartGallery w:val="Page Numbers (Bottom of Page)"/>
        <w:docPartUnique/>
      </w:docPartObj>
    </w:sdtPr>
    <w:sdtEndPr>
      <w:rPr>
        <w:noProof/>
      </w:rPr>
    </w:sdtEndPr>
    <w:sdtContent>
      <w:p w14:paraId="26CA99B1" w14:textId="2056BCC1" w:rsidR="00AD02AE" w:rsidRDefault="00AD02AE">
        <w:pPr>
          <w:pStyle w:val="Footer"/>
          <w:jc w:val="right"/>
        </w:pPr>
        <w:r w:rsidRPr="00AD02AE">
          <w:rPr>
            <w:rFonts w:ascii="Times New Roman" w:hAnsi="Times New Roman" w:cs="Times New Roman"/>
            <w:i/>
            <w:sz w:val="20"/>
            <w:szCs w:val="20"/>
            <w:lang w:val="id-ID"/>
          </w:rPr>
          <w:t>Jurnal</w:t>
        </w:r>
        <w:r w:rsidRPr="00AD02AE">
          <w:rPr>
            <w:rFonts w:ascii="Times New Roman" w:hAnsi="Times New Roman" w:cs="Times New Roman"/>
            <w:i/>
            <w:sz w:val="20"/>
            <w:szCs w:val="20"/>
          </w:rPr>
          <w:t xml:space="preserve"> Kertha Semaya</w:t>
        </w:r>
        <w:r w:rsidRPr="00AD02AE">
          <w:rPr>
            <w:rFonts w:ascii="Times New Roman" w:hAnsi="Times New Roman" w:cs="Times New Roman"/>
            <w:i/>
            <w:sz w:val="20"/>
            <w:szCs w:val="20"/>
            <w:lang w:val="id-ID"/>
          </w:rPr>
          <w:t xml:space="preserve">, Vol. </w:t>
        </w:r>
        <w:r w:rsidRPr="00AD02AE">
          <w:rPr>
            <w:rFonts w:ascii="Times New Roman" w:hAnsi="Times New Roman" w:cs="Times New Roman"/>
            <w:i/>
            <w:sz w:val="20"/>
            <w:szCs w:val="20"/>
          </w:rPr>
          <w:t>13</w:t>
        </w:r>
        <w:r w:rsidRPr="00AD02AE">
          <w:rPr>
            <w:rFonts w:ascii="Times New Roman" w:hAnsi="Times New Roman" w:cs="Times New Roman"/>
            <w:i/>
            <w:sz w:val="20"/>
            <w:szCs w:val="20"/>
            <w:lang w:val="id-ID"/>
          </w:rPr>
          <w:t xml:space="preserve"> No. 10</w:t>
        </w:r>
        <w:r w:rsidRPr="00AD02AE">
          <w:rPr>
            <w:rFonts w:ascii="Times New Roman" w:hAnsi="Times New Roman" w:cs="Times New Roman"/>
            <w:i/>
            <w:sz w:val="20"/>
            <w:szCs w:val="20"/>
          </w:rPr>
          <w:t xml:space="preserve"> Tahun 2025</w:t>
        </w:r>
        <w:r w:rsidRPr="00AD02AE">
          <w:rPr>
            <w:rFonts w:ascii="Times New Roman" w:hAnsi="Times New Roman" w:cs="Times New Roman"/>
            <w:i/>
            <w:sz w:val="20"/>
            <w:szCs w:val="20"/>
            <w:lang w:val="id-ID"/>
          </w:rPr>
          <w:t xml:space="preserve">, hlm. </w:t>
        </w:r>
        <w:r w:rsidRPr="00AD02AE">
          <w:rPr>
            <w:rFonts w:ascii="Times New Roman" w:hAnsi="Times New Roman" w:cs="Times New Roman"/>
            <w:i/>
            <w:sz w:val="20"/>
            <w:szCs w:val="20"/>
          </w:rPr>
          <w:t>22</w:t>
        </w:r>
        <w:r w:rsidR="00B6359C">
          <w:rPr>
            <w:rFonts w:ascii="Times New Roman" w:hAnsi="Times New Roman" w:cs="Times New Roman"/>
            <w:i/>
            <w:sz w:val="20"/>
            <w:szCs w:val="20"/>
          </w:rPr>
          <w:t>26</w:t>
        </w:r>
        <w:r w:rsidRPr="00AD02AE">
          <w:rPr>
            <w:rFonts w:ascii="Times New Roman" w:hAnsi="Times New Roman" w:cs="Times New Roman"/>
            <w:i/>
            <w:sz w:val="20"/>
            <w:szCs w:val="20"/>
          </w:rPr>
          <w:t>-2</w:t>
        </w:r>
        <w:r w:rsidR="00B6359C">
          <w:rPr>
            <w:rFonts w:ascii="Times New Roman" w:hAnsi="Times New Roman" w:cs="Times New Roman"/>
            <w:i/>
            <w:sz w:val="20"/>
            <w:szCs w:val="20"/>
          </w:rPr>
          <w:t>240</w:t>
        </w:r>
        <w:r>
          <w:rPr>
            <w:i/>
          </w:rPr>
          <w:tab/>
        </w:r>
        <w:r w:rsidRPr="00AD02AE">
          <w:rPr>
            <w:rFonts w:ascii="Times New Roman" w:hAnsi="Times New Roman" w:cs="Times New Roman"/>
            <w:sz w:val="20"/>
            <w:szCs w:val="20"/>
          </w:rPr>
          <w:fldChar w:fldCharType="begin"/>
        </w:r>
        <w:r w:rsidRPr="00AD02AE">
          <w:rPr>
            <w:rFonts w:ascii="Times New Roman" w:hAnsi="Times New Roman" w:cs="Times New Roman"/>
            <w:sz w:val="20"/>
            <w:szCs w:val="20"/>
          </w:rPr>
          <w:instrText xml:space="preserve"> PAGE   \* MERGEFORMAT </w:instrText>
        </w:r>
        <w:r w:rsidRPr="00AD02AE">
          <w:rPr>
            <w:rFonts w:ascii="Times New Roman" w:hAnsi="Times New Roman" w:cs="Times New Roman"/>
            <w:sz w:val="20"/>
            <w:szCs w:val="20"/>
          </w:rPr>
          <w:fldChar w:fldCharType="separate"/>
        </w:r>
        <w:r w:rsidRPr="00AD02AE">
          <w:rPr>
            <w:rFonts w:ascii="Times New Roman" w:hAnsi="Times New Roman" w:cs="Times New Roman"/>
            <w:noProof/>
            <w:sz w:val="20"/>
            <w:szCs w:val="20"/>
          </w:rPr>
          <w:t>2</w:t>
        </w:r>
        <w:r w:rsidRPr="00AD02A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6916" w14:textId="77777777" w:rsidR="00843DF4" w:rsidRDefault="00843DF4" w:rsidP="007C1E0E">
      <w:pPr>
        <w:spacing w:after="0" w:line="240" w:lineRule="auto"/>
      </w:pPr>
      <w:r>
        <w:separator/>
      </w:r>
    </w:p>
  </w:footnote>
  <w:footnote w:type="continuationSeparator" w:id="0">
    <w:p w14:paraId="7196F02E" w14:textId="77777777" w:rsidR="00843DF4" w:rsidRDefault="00843DF4" w:rsidP="007C1E0E">
      <w:pPr>
        <w:spacing w:after="0" w:line="240" w:lineRule="auto"/>
      </w:pPr>
      <w:r>
        <w:continuationSeparator/>
      </w:r>
    </w:p>
  </w:footnote>
  <w:footnote w:id="1">
    <w:p w14:paraId="6EAA4BC6" w14:textId="060B3078" w:rsidR="005A69CD" w:rsidRPr="00AD02AE" w:rsidRDefault="005A69CD"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{"citationItems":[{"id":"ITEM-1","itemData":{"author":[{"dropping-particle":"","family":"Nachrawi","given":"Gunawan","non-dropping-particle":"","parse-names":false,"suffix":""}],"id":"ITEM-1","issued":{"date-parts":[["2021"]]},"number-of-pages":"10-11","publisher":"Cendikia Press","publisher-place":"bandung","title":"BUMN Sebagai Usaha Pemerintah Menuju Kesejahteraan Rakyat Tinjauan Filosofis, Sosiologis, Politis dan Yuridis ","type":"book"},"uris":["http://www.mendeley.com/documents/?uuid=573ce7a3-028a-350c-a662-787402d1420a"]}],"mendeley":{"formattedCitation":"Gunawan Nachrawi, &lt;i&gt;BUMN Sebagai Usaha Pemerintah Menuju Kesejahteraan Rakyat Tinjauan Filosofis, Sosiologis, Politis Dan Yuridis &lt;/i&gt; (bandung: Cendikia Press, 2021).","manualFormatting":"Nachrawi, Gunawan. BUMN Sebagai Usaha Pemerintah Menuju Kesejahteraan Rakyat Tinjauan Filosofis, Sosiologis, Politis Dan Yuridis  (bandung: Cendikia Press, 2021).","plainTextFormattedCitation":"Gunawan Nachrawi, BUMN Sebagai Usaha Pemerintah Menuju Kesejahteraan Rakyat Tinjauan Filosofis, Sosiologis, Politis Dan Yuridis  (bandung: Cendikia Press, 2021).","previouslyFormattedCitation":"Gunawan Nachrawi, &lt;i&gt;BUMN Sebagai Usaha Pemerintah Menuju Kesejahteraan Rakyat Tinjauan Filosofis, Sosiologis, Politis Dan Yuridis &lt;/i&gt; (bandung: Cendikia Press, 2021)."},"properties":{"noteIndex":1},"schema":"https://github.com/citation-style-language/schema/raw/master/csl-citation.json"}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Nachrawi,</w:t>
      </w:r>
      <w:r w:rsidR="002A43A9" w:rsidRPr="00AD02AE">
        <w:rPr>
          <w:rFonts w:ascii="Book Antiqua" w:hAnsi="Book Antiqua"/>
          <w:noProof/>
        </w:rPr>
        <w:t xml:space="preserve"> Gunawan</w:t>
      </w:r>
      <w:r w:rsidR="00651E5E" w:rsidRPr="00AD02AE">
        <w:rPr>
          <w:rFonts w:ascii="Book Antiqua" w:hAnsi="Book Antiqua"/>
          <w:noProof/>
        </w:rPr>
        <w:t>.</w:t>
      </w:r>
      <w:r w:rsidRPr="00AD02AE">
        <w:rPr>
          <w:rFonts w:ascii="Book Antiqua" w:hAnsi="Book Antiqua"/>
          <w:noProof/>
        </w:rPr>
        <w:t xml:space="preserve"> </w:t>
      </w:r>
      <w:r w:rsidRPr="00AD02AE">
        <w:rPr>
          <w:rFonts w:ascii="Book Antiqua" w:hAnsi="Book Antiqua"/>
          <w:i/>
          <w:noProof/>
        </w:rPr>
        <w:t xml:space="preserve">BUMN Sebagai Usaha Pemerintah Menuju Kesejahteraan Rakyat Tinjauan Filosofis, Sosiologis, Politis Dan Yuridis </w:t>
      </w:r>
      <w:r w:rsidRPr="00AD02AE">
        <w:rPr>
          <w:rFonts w:ascii="Book Antiqua" w:hAnsi="Book Antiqua"/>
          <w:noProof/>
        </w:rPr>
        <w:t xml:space="preserve"> (bandung: Cendikia Press, 2021).</w:t>
      </w:r>
      <w:r w:rsidRPr="00AD02AE">
        <w:rPr>
          <w:rFonts w:ascii="Book Antiqua" w:hAnsi="Book Antiqua"/>
        </w:rPr>
        <w:fldChar w:fldCharType="end"/>
      </w:r>
    </w:p>
  </w:footnote>
  <w:footnote w:id="2">
    <w:p w14:paraId="4341CACC" w14:textId="0276E1D7" w:rsidR="00DB382D" w:rsidRPr="00AD02AE" w:rsidRDefault="00DB382D"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062B4" w:rsidRPr="00AD02AE">
        <w:rPr>
          <w:rFonts w:ascii="Book Antiqua" w:hAnsi="Book Antiqua"/>
        </w:rPr>
        <w:instrText>ADDIN CSL_CITATION {"citationItems":[{"id":"ITEM-1","itemData":{"DOI":"10.54443/sibatik.v1i7.118","abstract":"Problematika utama dalam pengelolaan BUMN yaitu berkaitan dengan peraturan perundang-undangan yang mengatur terkait BUMN itu sendiri. Problematika tersebut yaitu adanya disharmonisasi antar peraturan perundangundangan terkait pola pengawasan pada BUMN tersebut, utamanya pada pengelolaan keuangan. Namun, permasalahan tumpang tindihnya peraturan perundang-undangan tersebut, tidak dapat dilakukan upaya uji materi (judicial review) ke Mahkamah Konstitusi. Karena apabila BUMN dikelola dengan berpedoman pada prinsip-prinsip perusahaan yang sehat, maka artinya secara hukum privat berlaku pula ketentuan pada Undang-Undang Nomor 40 Tahun 2007 tentang Perseroan Terbatas (selanjutnya disebut Undang-Undang PT). “bagian dari keuangan publik, di mana dalam praktiknya akan merugikan kedudukan hukum BUMN selaku badan hukum privat karena tidak adanya perbedaan secara tegas mana badan hukum publik dan badan hukum perdata yang menjadi bagian ruang lingkup kewenangan Badan Pemeriksa Keuangan. Setiap badan hukum yang berbentuk perusahaan dipastikan terdapat alat perlengkapan yaitu pengawasan. Pengawasan dilaksanakan sebagai kontrol pekerjaan seorang direksi yang mempunyai tugas mengurus perusahaannya. Seperti kita ketahui bahwa seluruh kegiatan perusahaan di pegang oleh seorang direksi. Tujuan dari Negara itu sendiri untuk menegakkan aturan hukum yang memilki kemaslahatn untuk rakyat serta menintik beratkan kepada penegkakkan hukum. Pemerintah sebagai amanat atau kepercayaan dari masyarakat kepada pemerintah agar menetapkan hukum atau peraturan yang bertujuan menciptakan kemaslahatan di tengah-tengah masyarakat. Dengan ini menggunakan metode penelitian pendekatan yuridis-empiris. Metode penelitian ialah “suatu cara untuk menemukan jawaban akan sesuatu hal. Cara penemuan jawaban tersebut sudah tersusun dalam langkah langkah tertentu yang terurut dan sistematis. Untuk menganalisis penanggulangan sengketa dalam Pengawasan Pengelolaan Keuangan Negara di Indonesia.","author":[{"dropping-particle":"","family":"Asri Putri","given":"Tiyas","non-dropping-particle":"","parse-names":false,"suffix":""},{"dropping-particle":"","family":"Herning Sitabuana","given":"Tundjung","non-dropping-particle":"","parse-names":false,"suffix":""}],"container-title":"SIBATIK JOURNAL: Jurnal Ilmiah Bidang Sosial, Ekonomi, Budaya, Teknologi, dan Pendidikan","id":"ITEM-1","issue":"7","issued":{"date-parts":[["2022"]]},"page":"1003-1018","title":"Pengawasan Pengelolaan Keuangan Negara Terhadap Badan Usaha Milik Negara (Bumn)","type":"article-journal","volume":"1"},"uris":["http://www.mendeley.com/documents/?uuid=73f3f8e3-6796-4d73-87c3-e5929fb5055c"]}],"mendeley":{"formattedCitation":"Tiyas Asri Putri and Tundjung Herning Sitabuana, “Pengawasan Pengelolaan Keuangan Negara Terhadap Badan Usaha Milik Negara (Bumn),” &lt;i&gt;SIBATIK JOURNAL: Jurnal Ilmiah Bidang Sosial, Ekonomi, Budaya, Teknologi, Dan Pendidikan&lt;/i&gt; 1, no. 7 (2022): 1003–18, https://doi.org/10.54443/sibatik.v1i7.118.","manualFormatting":"Tiyas Asri Putri and Tundjung Herning Sitabuana, “Pengawasan Pengelolaan Keuangan Negara Terhadap Badan Usaha Milik Negara (Bumn),” SIBATIK JOURNAL: Jurnal Ilmiah Bidang Sosial, Ekonomi, Budaya, Teknologi, Dan Pendidikan 1, no. 7 (2022): 1003–18.","plainTextFormattedCitation":"Tiyas Asri Putri and Tundjung Herning Sitabuana, “Pengawasan Pengelolaan Keuangan Negara Terhadap Badan Usaha Milik Negara (Bumn),” SIBATIK JOURNAL: Jurnal Ilmiah Bidang Sosial, Ekonomi, Budaya, Teknologi, Dan Pendidikan 1, no. 7 (2022): 1003–18, https://doi.org/10.54443/sibatik.v1i7.118.","previouslyFormattedCitation":"Tiyas Asri Putri and Tundjung Herning Sitabuana, “Pengawasan Pengelolaan Keuangan Negara Terhadap Badan Usaha Milik Negara (Bumn),” &lt;i&gt;SIBATIK JOURNAL: Jurnal Ilmiah Bidang Sosial, Ekonomi, Budaya, Teknologi, Dan Pendidikan&lt;/i&gt; 1, no. 7 (2022): 1003–18, https://doi.org/10.54443/sibatik.v1i7.118."},"properties":{"noteIndex":2},"schema":"https://github.com/citation-style-language/schema/raw/master/csl-citation.json"}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Tiyas Asri Putri and Tundjung Herning Sitabuana, “Pengawasan Pengelolaan Keuangan Negara Terhadap Badan Usaha Milik Negara (Bumn),” </w:t>
      </w:r>
      <w:r w:rsidRPr="00AD02AE">
        <w:rPr>
          <w:rFonts w:ascii="Book Antiqua" w:hAnsi="Book Antiqua"/>
          <w:i/>
          <w:noProof/>
        </w:rPr>
        <w:t>SIBATIK JOURNAL: Jurnal Ilmiah Bidang Sosial, Ekonomi, Budaya, Teknologi, Dan Pendidikan</w:t>
      </w:r>
      <w:r w:rsidRPr="00AD02AE">
        <w:rPr>
          <w:rFonts w:ascii="Book Antiqua" w:hAnsi="Book Antiqua"/>
          <w:noProof/>
        </w:rPr>
        <w:t xml:space="preserve"> 1, no. 7 (2022): 1003–18.</w:t>
      </w:r>
      <w:r w:rsidRPr="00AD02AE">
        <w:rPr>
          <w:rFonts w:ascii="Book Antiqua" w:hAnsi="Book Antiqua"/>
        </w:rPr>
        <w:fldChar w:fldCharType="end"/>
      </w:r>
    </w:p>
  </w:footnote>
  <w:footnote w:id="3">
    <w:p w14:paraId="6447A7F5" w14:textId="4640E678" w:rsidR="00FB1D31" w:rsidRPr="00AD02AE" w:rsidRDefault="00FB1D31"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{"citationItems":[{"id":"ITEM-1","itemData":{"author":[{"dropping-particle":"","family":"Purnama","given":"Agustinus Dwi Purnama","non-dropping-particle":"","parse-names":false,"suffix":""},{"dropping-particle":"","family":"Priyono","given":"Anhar Fauzan","non-dropping-particle":"","parse-names":false,"suffix":""},{"dropping-particle":"","family":"Remi","given":"Sutyastie Soemitro","non-dropping-particle":"","parse-names":false,"suffix":""}],"container-title":"E-JURNAL EKONOMI DAN BISNIS UNIVERSITAS UDAYANA","id":"ITEM-1","issue":"02","issued":{"date-parts":[["2023"]]},"page":"261-273","title":"Tata kelola bumn dan pertumbuhan ekonomi menurut klaster lapangan usaha perusahaan negara di indonesia","type":"article-journal","volume":"12"},"uris":["http://www.mendeley.com/documents/?uuid=c74df93b-2371-478f-a3c0-97a786fdaa3e"]}],"mendeley":{"formattedCitation":"Agustinus Dwi Purnama Purnama, Anhar Fauzan Priyono, and Sutyastie Soemitro Remi, “Tata Kelola Bumn Dan Pertumbuhan Ekonomi Menurut Klaster Lapangan Usaha Perusahaan Negara Di Indonesia,” &lt;i&gt;E-JURNAL EKONOMI DAN BISNIS UNIVERSITAS UDAYANA&lt;/i&gt; 12, no. 02 (2023): 261–73.","manualFormatting":"Agustinus Dwi Purnama, Anhar Fauzan Priyono, and Sutyastie Soemitro Remi, “Tata Kelola Bumn Dan Pertumbuhan Ekonomi Menurut Klaster Lapangan Usaha Perusahaan Negara Di Indonesia,” E-JURNAL EKONOMI DAN BISNIS UNIVERSITAS UDAYANA 12, no. 02 (2023): 261–73.","plainTextFormattedCitation":"Agustinus Dwi Purnama Purnama, Anhar Fauzan Priyono, and Sutyastie Soemitro Remi, “Tata Kelola Bumn Dan Pertumbuhan Ekonomi Menurut Klaster Lapangan Usaha Perusahaan Negara Di Indonesia,” E-JURNAL EKONOMI DAN BISNIS UNIVERSITAS UDAYANA 12, no. 02 (2023): 261–73.","previouslyFormattedCitation":"Agustinus Dwi Purnama Purnama, Anhar Fauzan Priyono, and Sutyastie Soemitro Remi, “Tata Kelola Bumn Dan Pertumbuhan Ekonomi Menurut Klaster Lapangan Usaha Perusahaan Negara Di Indonesia,” &lt;i&gt;E-JURNAL EKONOMI DAN BISNIS UNIVERSITAS UDAYANA&lt;/i&gt; 12, no. 02 (2023): 261–73."},"properties":{"noteIndex":3},"schema":"https://github.com/citation-style-language/schema/raw/master/csl-citation.json"}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Agustinus Dwi Purnama, Anhar Fauzan Priyono, and Sutyastie Soemitro Remi, “Tata Kelola Bumn Dan Pertumbuhan Ekonomi Menurut Klaster Lapangan Usaha Perusahaan Negara Di Indonesia,” </w:t>
      </w:r>
      <w:r w:rsidRPr="00AD02AE">
        <w:rPr>
          <w:rFonts w:ascii="Book Antiqua" w:hAnsi="Book Antiqua"/>
          <w:i/>
          <w:noProof/>
        </w:rPr>
        <w:t>E-JURNAL EKONOMI DAN BISNIS UNIVERSITAS UDAYANA</w:t>
      </w:r>
      <w:r w:rsidRPr="00AD02AE">
        <w:rPr>
          <w:rFonts w:ascii="Book Antiqua" w:hAnsi="Book Antiqua"/>
          <w:noProof/>
        </w:rPr>
        <w:t xml:space="preserve"> 12, no. 02 (2023): 261–73.</w:t>
      </w:r>
      <w:r w:rsidRPr="00AD02AE">
        <w:rPr>
          <w:rFonts w:ascii="Book Antiqua" w:hAnsi="Book Antiqua"/>
        </w:rPr>
        <w:fldChar w:fldCharType="end"/>
      </w:r>
    </w:p>
  </w:footnote>
  <w:footnote w:id="4">
    <w:p w14:paraId="750DA76A" w14:textId="73EBF8DC" w:rsidR="00DB382D" w:rsidRPr="00AD02AE" w:rsidRDefault="00DB382D"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062B4" w:rsidRPr="00AD02AE">
        <w:rPr>
          <w:rFonts w:ascii="Book Antiqua" w:hAnsi="Book Antiqua"/>
        </w:rPr>
        <w:instrText>ADDIN CSL_CITATION {"citationItems":[{"id":"ITEM-1","itemData":{"abstract":"… Penelitian Hukum” tentu dapat diketahui meskipun objenya adalah jenis metode penelitian yuridis normatif … diperlukan metode yuridis normatif dalam membuktikan kebenaran pada …","author":[{"dropping-particle":"","family":"Zainuddin","given":"Muhammad","non-dropping-particle":"","parse-names":false,"suffix":""},{"dropping-particle":"","family":"Karina","given":"Aisyah Dinda","non-dropping-particle":"","parse-names":false,"suffix":""}],"container-title":"Smart Law Journal","id":"ITEM-1","issue":"2","issued":{"date-parts":[["2023"]]},"page":"114-123","title":"Penggunaan Metode Yuridis Normatif dalam Membuktikan Kebenaran pada Penelitian Hukum","type":"article-journal","volume":"2"},"uris":["http://www.mendeley.com/documents/?uuid=5c514c9e-5a5b-4d28-84a3-0f61bd3a92ef"]}],"mendeley":{"formattedCitation":"Muhammad Zainuddin and Aisyah Dinda Karina, “Penggunaan Metode Yuridis Normatif Dalam Membuktikan Kebenaran Pada Penelitian Hukum,” &lt;i&gt;Smart Law Journal&lt;/i&gt; 2, no. 2 (2023): 114–23, https://journal.unkaha.com/index.php/slj/article/view/26.","manualFormatting":"Muhammad Zainuddin and Aisyah Dinda Karina, “Penggunaan Metode Yuridis Normatif Dalam Membuktikan Kebenaran Pada Penelitian Hukum,” Smart Law Journal 2, no. 2 (2023): 114–23.","plainTextFormattedCitation":"Muhammad Zainuddin and Aisyah Dinda Karina, “Penggunaan Metode Yuridis Normatif Dalam Membuktikan Kebenaran Pada Penelitian Hukum,” Smart Law Journal 2, no. 2 (2023): 114–23, https://journal.unkaha.com/index.php/slj/article/view/26.","previouslyFormattedCitation":"Muhammad Zainuddin and Aisyah Dinda Karina, “Penggunaan Metode Yuridis Normatif Dalam Membuktikan Kebenaran Pada Penelitian Hukum,” &lt;i&gt;Smart Law Journal&lt;/i&gt; 2, no. 2 (2023): 114–23, https://journal.unkaha.com/index.php/slj/article/view/26."},"properties":{"noteIndex":4},"schema":"https://github.com/citation-style-language/schema/raw/master/csl-citation.json"}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Muhammad Zainuddin and Aisyah Dinda Karina, “Penggunaan Metode Yuridis Normatif Dalam Membuktikan Kebenaran Pada Penelitian Hukum,” </w:t>
      </w:r>
      <w:r w:rsidRPr="00AD02AE">
        <w:rPr>
          <w:rFonts w:ascii="Book Antiqua" w:hAnsi="Book Antiqua"/>
          <w:i/>
          <w:noProof/>
        </w:rPr>
        <w:t>Smart Law Journal</w:t>
      </w:r>
      <w:r w:rsidRPr="00AD02AE">
        <w:rPr>
          <w:rFonts w:ascii="Book Antiqua" w:hAnsi="Book Antiqua"/>
          <w:noProof/>
        </w:rPr>
        <w:t xml:space="preserve"> 2, no. 2 (2023): 114–23.</w:t>
      </w:r>
      <w:r w:rsidRPr="00AD02AE">
        <w:rPr>
          <w:rFonts w:ascii="Book Antiqua" w:hAnsi="Book Antiqua"/>
        </w:rPr>
        <w:fldChar w:fldCharType="end"/>
      </w:r>
    </w:p>
  </w:footnote>
  <w:footnote w:id="5">
    <w:p w14:paraId="47E7EADA" w14:textId="272E1AE9" w:rsidR="00DB382D" w:rsidRPr="00AD02AE" w:rsidRDefault="00DB382D"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Pr="00AD02AE">
        <w:rPr>
          <w:rFonts w:ascii="Book Antiqua" w:hAnsi="Book Antiqua"/>
        </w:rPr>
        <w:instrText>ADDIN CSL_CITATION {"citationItems":[{"id":"ITEM-1","itemData":{"author":[{"dropping-particle":"","family":"Saebani","given":"Beni Ahmad","non-dropping-particle":"","parse-names":false,"suffix":""}],"id":"ITEM-1","issued":{"date-parts":[["2021"]]},"number-of-pages":"67","publisher":"CV Pustaka Setia","publisher-place":"bandung","title":"Metode Penelitian Hukum Yuridis Normatif","type":"book"},"uris":["http://www.mendeley.com/documents/?uuid=eac892ac-b468-4ed5-9c4f-1c2e27bbd55b"]}],"mendeley":{"formattedCitation":"Beni Ahmad Saebani, &lt;i&gt;Metode Penelitian Hukum Yuridis Normatif&lt;/i&gt; (bandung: CV Pustaka Setia, 2021).","plainTextFormattedCitation":"Beni Ahmad Saebani, Metode Penelitian Hukum Yuridis Normatif (bandung: CV Pustaka Setia, 2021).","previouslyFormattedCitation":"Beni Ahmad Saebani, &lt;i&gt;Metode Penelitian Hukum Yuridis Normatif&lt;/i&gt; (bandung: CV Pustaka Setia, 2021)."},"properties":{"noteIndex":5},"schema":"https://github.com/citation-style-language/schema/raw/master/csl-citation.json"}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Beni Ahmad Saebani, </w:t>
      </w:r>
      <w:r w:rsidRPr="00AD02AE">
        <w:rPr>
          <w:rFonts w:ascii="Book Antiqua" w:hAnsi="Book Antiqua"/>
          <w:i/>
          <w:noProof/>
        </w:rPr>
        <w:t>Metode Penelitian Hukum Yuridis Normatif</w:t>
      </w:r>
      <w:r w:rsidRPr="00AD02AE">
        <w:rPr>
          <w:rFonts w:ascii="Book Antiqua" w:hAnsi="Book Antiqua"/>
          <w:noProof/>
        </w:rPr>
        <w:t xml:space="preserve"> (bandung: CV Pustaka Setia, 2021).</w:t>
      </w:r>
      <w:r w:rsidRPr="00AD02AE">
        <w:rPr>
          <w:rFonts w:ascii="Book Antiqua" w:hAnsi="Book Antiqua"/>
        </w:rPr>
        <w:fldChar w:fldCharType="end"/>
      </w:r>
    </w:p>
  </w:footnote>
  <w:footnote w:id="6">
    <w:p w14:paraId="2275FF6C" w14:textId="4D0EC506" w:rsidR="00F44914" w:rsidRPr="00AD02AE" w:rsidRDefault="00F44914" w:rsidP="00AD02AE">
      <w:pPr>
        <w:pStyle w:val="TeksCatatanKaki"/>
        <w:ind w:left="142" w:hanging="142"/>
        <w:jc w:val="both"/>
        <w:rPr>
          <w:rFonts w:ascii="Book Antiqua" w:hAnsi="Book Antiqua" w:cs="Times New Roman"/>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cs="Times New Roman"/>
        </w:rPr>
        <w:fldChar w:fldCharType="begin" w:fldLock="1"/>
      </w:r>
      <w:r w:rsidR="00414414" w:rsidRPr="00AD02AE">
        <w:rPr>
          <w:rFonts w:ascii="Book Antiqua" w:hAnsi="Book Antiqua" w:cs="Times New Roman"/>
        </w:rPr>
        <w:instrText>ADDIN CSL_CITATION {"citationItems":[{"id":"ITEM-1","itemData":{"DOI":"10.23917/jjr.v9i1.8092","ISSN":"1829-5045","abstract":"Tujuan: Artikel ini bertujuan untuk (1) mengelaborasi peran BUMN dalam era industrialisasi dunia yang cenderung dipersiapkan untuk berlayar pada kolam kapitalisme, dan (2) mengkomparasi realitas yang terjadi dengan prinsip dasar Indonesia sebagai negara Ketuhanan, dengan ancaman deferensiasi nilai, pemisahan agama dalam nilai-nilai kehidupan termasuk dalam dunia industry. Metodologi: Penulisan ini menggunakan dua pendekatan, yaitu pendekatan perbandingan dan pendekatan sejarah. Pendekatan perbandingan dilakukan dengan membandingkan konsep kesejahteraan dengan negara lain. Sementara Pendekatan historis dilakukan untuk mengkaji sejarah-sejarah BUMN di setiap era pemerintahan. Temuan: Hegemoni industrialisasi dunia yang dipropaganda masuk pada seri terbarunya yaitu 4.0 berdampak pada ancaman lunturnya nilai-nilai ideologis, padahal industrialisasi barat berpangkal pada filsafat modern dengan pragmatisme yang tinggi. Dampaknya adalah terbangunnya sistem industri yang cenderung barbar, miskin maslahat hanya berorientasi pada pemusatan kekuatan ekonomi oleh beberapa kelompok orang saja. Kegunaan: BUMN harus membawa nilai-nilai nasional dalam kontestasi internasional, sehinga akan menjadi soko guru ekonomi bangsa dengan pemaksimalan pengelolaan sumber daya nasional yang dikelola dengan profesional, efektif, efisien, akuntabel, transparan dan mengedepankan kepentingan nasional. Kebaruan/Orisinalitas: Menguatkan akar filosofis BUMN dalam arus industrialisasi adalah dengan tetap memegang tegun falsafah ekonomi Pancasila yang berorientasi pada kesejahteraan kolektif, tidak liberal, tidak sosialis dan bersendikan nilai-nilai Ketuhanan yang mengutamakan tingkat maslahat (kemanfaatan) dan nilai berkah (kebaikan yang terus-menerus dan berkesinambungan), sehingga kesenjangan ekonomi, sosial akan terkikis, keadilan dan kemakmuran menjadi nyata.","author":[{"dropping-particle":"","family":"Yunus","given":"Achmad","non-dropping-particle":"","parse-names":false,"suffix":""}],"container-title":"Jurnal Jurisprudence","id":"ITEM-1","issue":"1","issued":{"date-parts":[["2019"]]},"page":"17-38","title":"MENGUATKAN AKAR FILOSOFIS BUMN DALAM ARUS INDUSTRIALISASI : Kritik Terhadap Basis Pemikiran Era Revolusi Industri","type":"article-journal","volume":"9"},"uris":["http://www.mendeley.com/documents/?uuid=734c83f8-4b08-47e6-a5d3-dbe5356db42f"]}],"mendeley":{"formattedCitation":"Achmad Yunus, “MENGUATKAN AKAR FILOSOFIS BUMN DALAM ARUS INDUSTRIALISASI</w:instrText>
      </w:r>
      <w:r w:rsidR="00414414" w:rsidRPr="00AD02AE">
        <w:rPr>
          <w:rFonts w:ascii="Times New Roman" w:hAnsi="Times New Roman" w:cs="Times New Roman"/>
        </w:rPr>
        <w:instrText> </w:instrText>
      </w:r>
      <w:r w:rsidR="00414414" w:rsidRPr="00AD02AE">
        <w:rPr>
          <w:rFonts w:ascii="Book Antiqua" w:hAnsi="Book Antiqua" w:cs="Times New Roman"/>
        </w:rPr>
        <w:instrText>: Kritik Terhadap Basis Pemikiran Era Revolusi Industri,</w:instrText>
      </w:r>
      <w:r w:rsidR="00414414" w:rsidRPr="00AD02AE">
        <w:rPr>
          <w:rFonts w:ascii="Book Antiqua" w:hAnsi="Book Antiqua" w:cs="Book Antiqua"/>
        </w:rPr>
        <w:instrText>”</w:instrText>
      </w:r>
      <w:r w:rsidR="00414414" w:rsidRPr="00AD02AE">
        <w:rPr>
          <w:rFonts w:ascii="Book Antiqua" w:hAnsi="Book Antiqua" w:cs="Times New Roman"/>
        </w:rPr>
        <w:instrText xml:space="preserve"> &lt;i&gt;Jurnal Jurisprudence&lt;/i&gt; 9, no. 1 (2019): 17</w:instrText>
      </w:r>
      <w:r w:rsidR="00414414" w:rsidRPr="00AD02AE">
        <w:rPr>
          <w:rFonts w:ascii="Book Antiqua" w:hAnsi="Book Antiqua" w:cs="Book Antiqua"/>
        </w:rPr>
        <w:instrText>–</w:instrText>
      </w:r>
      <w:r w:rsidR="00414414" w:rsidRPr="00AD02AE">
        <w:rPr>
          <w:rFonts w:ascii="Book Antiqua" w:hAnsi="Book Antiqua" w:cs="Times New Roman"/>
        </w:rPr>
        <w:instrText xml:space="preserve">38, https://doi.org/10.23917/jjr.v9i1.8092.","plainTextFormattedCitation":"Achmad Yunus, </w:instrText>
      </w:r>
      <w:r w:rsidR="00414414" w:rsidRPr="00AD02AE">
        <w:rPr>
          <w:rFonts w:ascii="Book Antiqua" w:hAnsi="Book Antiqua" w:cs="Book Antiqua"/>
        </w:rPr>
        <w:instrText>“</w:instrText>
      </w:r>
      <w:r w:rsidR="00414414" w:rsidRPr="00AD02AE">
        <w:rPr>
          <w:rFonts w:ascii="Book Antiqua" w:hAnsi="Book Antiqua" w:cs="Times New Roman"/>
        </w:rPr>
        <w:instrText>MENGUATKAN AKAR FILOSOFIS BUMN DALAM ARUS INDUSTRIALISASI</w:instrText>
      </w:r>
      <w:r w:rsidR="00414414" w:rsidRPr="00AD02AE">
        <w:rPr>
          <w:rFonts w:ascii="Times New Roman" w:hAnsi="Times New Roman" w:cs="Times New Roman"/>
        </w:rPr>
        <w:instrText> </w:instrText>
      </w:r>
      <w:r w:rsidR="00414414" w:rsidRPr="00AD02AE">
        <w:rPr>
          <w:rFonts w:ascii="Book Antiqua" w:hAnsi="Book Antiqua" w:cs="Times New Roman"/>
        </w:rPr>
        <w:instrText>: Kritik Terhadap Basis Pemikiran Era Revolusi Industri,</w:instrText>
      </w:r>
      <w:r w:rsidR="00414414" w:rsidRPr="00AD02AE">
        <w:rPr>
          <w:rFonts w:ascii="Book Antiqua" w:hAnsi="Book Antiqua" w:cs="Book Antiqua"/>
        </w:rPr>
        <w:instrText>”</w:instrText>
      </w:r>
      <w:r w:rsidR="00414414" w:rsidRPr="00AD02AE">
        <w:rPr>
          <w:rFonts w:ascii="Book Antiqua" w:hAnsi="Book Antiqua" w:cs="Times New Roman"/>
        </w:rPr>
        <w:instrText xml:space="preserve"> Jurnal Jurisprudence 9, no. 1 (2019): 17</w:instrText>
      </w:r>
      <w:r w:rsidR="00414414" w:rsidRPr="00AD02AE">
        <w:rPr>
          <w:rFonts w:ascii="Book Antiqua" w:hAnsi="Book Antiqua" w:cs="Book Antiqua"/>
        </w:rPr>
        <w:instrText>–</w:instrText>
      </w:r>
      <w:r w:rsidR="00414414" w:rsidRPr="00AD02AE">
        <w:rPr>
          <w:rFonts w:ascii="Book Antiqua" w:hAnsi="Book Antiqua" w:cs="Times New Roman"/>
        </w:rPr>
        <w:instrText xml:space="preserve">38, https://doi.org/10.23917/jjr.v9i1.8092.","previouslyFormattedCitation":"Achmad Yunus, </w:instrText>
      </w:r>
      <w:r w:rsidR="00414414" w:rsidRPr="00AD02AE">
        <w:rPr>
          <w:rFonts w:ascii="Book Antiqua" w:hAnsi="Book Antiqua" w:cs="Book Antiqua"/>
        </w:rPr>
        <w:instrText>“</w:instrText>
      </w:r>
      <w:r w:rsidR="00414414" w:rsidRPr="00AD02AE">
        <w:rPr>
          <w:rFonts w:ascii="Book Antiqua" w:hAnsi="Book Antiqua" w:cs="Times New Roman"/>
        </w:rPr>
        <w:instrText>MENGUATKAN AKAR FILOSOFIS BUMN DALAM ARUS INDUSTRIALISASI</w:instrText>
      </w:r>
      <w:r w:rsidR="00414414" w:rsidRPr="00AD02AE">
        <w:rPr>
          <w:rFonts w:ascii="Times New Roman" w:hAnsi="Times New Roman" w:cs="Times New Roman"/>
        </w:rPr>
        <w:instrText> </w:instrText>
      </w:r>
      <w:r w:rsidR="00414414" w:rsidRPr="00AD02AE">
        <w:rPr>
          <w:rFonts w:ascii="Book Antiqua" w:hAnsi="Book Antiqua" w:cs="Times New Roman"/>
        </w:rPr>
        <w:instrText>: Kritik Terhadap Basis Pemikiran Era Revolusi Industri,</w:instrText>
      </w:r>
      <w:r w:rsidR="00414414" w:rsidRPr="00AD02AE">
        <w:rPr>
          <w:rFonts w:ascii="Book Antiqua" w:hAnsi="Book Antiqua" w:cs="Book Antiqua"/>
        </w:rPr>
        <w:instrText>”</w:instrText>
      </w:r>
      <w:r w:rsidR="00414414" w:rsidRPr="00AD02AE">
        <w:rPr>
          <w:rFonts w:ascii="Book Antiqua" w:hAnsi="Book Antiqua" w:cs="Times New Roman"/>
        </w:rPr>
        <w:instrText xml:space="preserve"> &lt;i&gt;Jurnal Jurisprudence&lt;/i&gt; 9, no. 1 (2019): 17</w:instrText>
      </w:r>
      <w:r w:rsidR="00414414" w:rsidRPr="00AD02AE">
        <w:rPr>
          <w:rFonts w:ascii="Book Antiqua" w:hAnsi="Book Antiqua" w:cs="Book Antiqua"/>
        </w:rPr>
        <w:instrText>–</w:instrText>
      </w:r>
      <w:r w:rsidR="00414414" w:rsidRPr="00AD02AE">
        <w:rPr>
          <w:rFonts w:ascii="Book Antiqua" w:hAnsi="Book Antiqua" w:cs="Times New Roman"/>
        </w:rPr>
        <w:instrText>38, https://doi.org/10.23917/jjr.v9i1.8092."},"properties":{"noteIndex":6},"schema":"https://github.com/citation-style-language/schema/raw/master/csl-citation.json"}</w:instrText>
      </w:r>
      <w:r w:rsidRPr="00AD02AE">
        <w:rPr>
          <w:rFonts w:ascii="Book Antiqua" w:hAnsi="Book Antiqua" w:cs="Times New Roman"/>
        </w:rPr>
        <w:fldChar w:fldCharType="separate"/>
      </w:r>
      <w:r w:rsidRPr="00AD02AE">
        <w:rPr>
          <w:rFonts w:ascii="Book Antiqua" w:hAnsi="Book Antiqua" w:cs="Times New Roman"/>
          <w:noProof/>
        </w:rPr>
        <w:t>Achmad Yunus, “MENGUATKAN AKAR FILOSOFIS BUMN DALAM ARUS INDUSTRIALISASI</w:t>
      </w:r>
      <w:r w:rsidRPr="00AD02AE">
        <w:rPr>
          <w:rFonts w:ascii="Times New Roman" w:hAnsi="Times New Roman" w:cs="Times New Roman"/>
          <w:noProof/>
        </w:rPr>
        <w:t> </w:t>
      </w:r>
      <w:r w:rsidRPr="00AD02AE">
        <w:rPr>
          <w:rFonts w:ascii="Book Antiqua" w:hAnsi="Book Antiqua" w:cs="Times New Roman"/>
          <w:noProof/>
        </w:rPr>
        <w:t>: Kritik Terhadap Basis Pemikiran Era Revolusi Industri,</w:t>
      </w:r>
      <w:r w:rsidRPr="00AD02AE">
        <w:rPr>
          <w:rFonts w:ascii="Book Antiqua" w:hAnsi="Book Antiqua" w:cs="Book Antiqua"/>
          <w:noProof/>
        </w:rPr>
        <w:t>”</w:t>
      </w:r>
      <w:r w:rsidRPr="00AD02AE">
        <w:rPr>
          <w:rFonts w:ascii="Book Antiqua" w:hAnsi="Book Antiqua" w:cs="Times New Roman"/>
          <w:noProof/>
        </w:rPr>
        <w:t xml:space="preserve"> </w:t>
      </w:r>
      <w:r w:rsidRPr="00AD02AE">
        <w:rPr>
          <w:rFonts w:ascii="Book Antiqua" w:hAnsi="Book Antiqua" w:cs="Times New Roman"/>
          <w:i/>
          <w:noProof/>
        </w:rPr>
        <w:t>Jurnal Jurisprudence</w:t>
      </w:r>
      <w:r w:rsidRPr="00AD02AE">
        <w:rPr>
          <w:rFonts w:ascii="Book Antiqua" w:hAnsi="Book Antiqua" w:cs="Times New Roman"/>
          <w:noProof/>
        </w:rPr>
        <w:t xml:space="preserve"> 9, no. 1 (2019): 17–38, https://doi.org/10.23917/jjr.v9i1.8092.</w:t>
      </w:r>
      <w:r w:rsidRPr="00AD02AE">
        <w:rPr>
          <w:rFonts w:ascii="Book Antiqua" w:hAnsi="Book Antiqua" w:cs="Times New Roman"/>
        </w:rPr>
        <w:fldChar w:fldCharType="end"/>
      </w:r>
    </w:p>
  </w:footnote>
  <w:footnote w:id="7">
    <w:p w14:paraId="7BC7DE73" w14:textId="1EC5D07D" w:rsidR="00F84607" w:rsidRPr="00AD02AE" w:rsidRDefault="00F84607"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{"citationItems":[{"id":"ITEM-1","itemData":{"author":[{"dropping-particle":"","family":"Novitasari","given":"Tita","non-dropping-particle":"","parse-names":false,"suffix":""}],"id":"ITEM-1","issued":{"date-parts":[["2025"]]},"number-of-pages":"81","publisher":"Widina Media Utama","publisher-place":"Bandung","title":"Belajar dari Asabri: Model Ideal Pengawasan Hukum terhadap Asuransi Milik Negara","type":"book"},"uris":["http://www.mendeley.com/documents/?uuid=5826205a-b21a-426a-b620-3bd8812c6d18"]}],"mendeley":{"formattedCitation":"Tita Novitasari, &lt;i&gt;Belajar Dari Asabri: Model Ideal Pengawasan Hukum Terhadap Asuransi Milik Negara&lt;/i&gt; (Bandung: Widina Media Utama, 2025).","plainTextFormattedCitation":"Tita Novitasari, Belajar Dari Asabri: Model Ideal Pengawasan Hukum Terhadap Asuransi Milik Negara (Bandung: Widina Media Utama, 2025).","previouslyFormattedCitation":"Tita Novitasari, &lt;i&gt;Belajar Dari Asabri: Model Ideal Pengawasan Hukum Terhadap Asuransi Milik Negara&lt;/i&gt; (Bandung: Widina Media Utama, 2025)."},"properties":{"noteIndex":7},"schema":"https://github.com/citation-style-language/schema/raw/master/csl-citation.json"}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Tita Novitasari, </w:t>
      </w:r>
      <w:r w:rsidRPr="00AD02AE">
        <w:rPr>
          <w:rFonts w:ascii="Book Antiqua" w:hAnsi="Book Antiqua"/>
          <w:i/>
          <w:noProof/>
        </w:rPr>
        <w:t>Belajar Dari Asabri: Model Ideal Pengawasan Hukum Terhadap Asuransi Milik Negara</w:t>
      </w:r>
      <w:r w:rsidRPr="00AD02AE">
        <w:rPr>
          <w:rFonts w:ascii="Book Antiqua" w:hAnsi="Book Antiqua"/>
          <w:noProof/>
        </w:rPr>
        <w:t xml:space="preserve"> (Bandung: Widina Media Utama, 2025).</w:t>
      </w:r>
      <w:r w:rsidRPr="00AD02AE">
        <w:rPr>
          <w:rFonts w:ascii="Book Antiqua" w:hAnsi="Book Antiqua"/>
        </w:rPr>
        <w:fldChar w:fldCharType="end"/>
      </w:r>
    </w:p>
  </w:footnote>
  <w:footnote w:id="8">
    <w:p w14:paraId="26F9F9C6" w14:textId="7B27810E" w:rsidR="004062B4" w:rsidRPr="00AD02AE" w:rsidRDefault="004062B4"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{"citationItems":[{"id":"ITEM-1","itemData":{"author":[{"dropping-particle":"","family":"Sandi","given":"Meidy Yanto","non-dropping-particle":"","parse-names":false,"suffix":""},{"dropping-particle":"","family":"Muhjad","given":"Muhammad Hadin","non-dropping-particle":"","parse-names":false,"suffix":""},{"dropping-particle":"","family":"Syaufi","given":"Akhmad","non-dropping-particle":"","parse-names":false,"suffix":""}],"container-title":"Notary Law Journal","id":"ITEM-1","issue":"3","issued":{"date-parts":[["2023"]]},"page":"181-202","title":"Kekayaan Negara yang Dipisahkan dalam Badan Usaha Milik Negara (BUMN) dalam Bentuk Persero","type":"article-journal","volume":"2"},"uris":["http://www.mendeley.com/documents/?uuid=ba9223fd-f0a8-476f-a982-4383fd712c63"]}],"mendeley":{"formattedCitation":"Meidy Yanto Sandi, Muhammad Hadin Muhjad, and Akhmad Syaufi, “Kekayaan Negara Yang Dipisahkan Dalam Badan Usaha Milik Negara (BUMN) Dalam Bentuk Persero,” &lt;i&gt;Notary Law Journal&lt;/i&gt; 2, no. 3 (2023): 181–202.","plainTextFormattedCitation":"Meidy Yanto Sandi, Muhammad Hadin Muhjad, and Akhmad Syaufi, “Kekayaan Negara Yang Dipisahkan Dalam Badan Usaha Milik Negara (BUMN) Dalam Bentuk Persero,” Notary Law Journal 2, no. 3 (2023): 181–202.","previouslyFormattedCitation":"Meidy Yanto Sandi, Muhammad Hadin Muhjad, and Akhmad Syaufi, “Kekayaan Negara Yang Dipisahkan Dalam Badan Usaha Milik Negara (BUMN) Dalam Bentuk Persero,” &lt;i&gt;Notary Law Journal&lt;/i&gt; 2, no. 3 (2023): 181–202."},"properties":{"noteIndex":8},"schema":"https://github.com/citation-style-language/schema/raw/master/csl-citation.json"}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Meidy Yanto Sandi, Muhammad Hadin Muhjad, and Akhmad Syaufi, “Kekayaan Negara Yang Dipisahkan Dalam Badan Usaha Milik Negara (BUMN) Dalam Bentuk Persero,” </w:t>
      </w:r>
      <w:r w:rsidRPr="00AD02AE">
        <w:rPr>
          <w:rFonts w:ascii="Book Antiqua" w:hAnsi="Book Antiqua"/>
          <w:i/>
          <w:noProof/>
        </w:rPr>
        <w:t>Notary Law Journal</w:t>
      </w:r>
      <w:r w:rsidRPr="00AD02AE">
        <w:rPr>
          <w:rFonts w:ascii="Book Antiqua" w:hAnsi="Book Antiqua"/>
          <w:noProof/>
        </w:rPr>
        <w:t xml:space="preserve"> 2, no. 3 (2023): 181–202.</w:t>
      </w:r>
      <w:r w:rsidRPr="00AD02AE">
        <w:rPr>
          <w:rFonts w:ascii="Book Antiqua" w:hAnsi="Book Antiqua"/>
        </w:rPr>
        <w:fldChar w:fldCharType="end"/>
      </w:r>
    </w:p>
  </w:footnote>
  <w:footnote w:id="9">
    <w:p w14:paraId="7FBC7FBB" w14:textId="328DA14E" w:rsidR="00DB382D" w:rsidRPr="00103A30" w:rsidRDefault="00DB382D" w:rsidP="00AD02AE">
      <w:pPr>
        <w:pStyle w:val="TeksCatatanKaki"/>
        <w:ind w:left="142" w:hanging="142"/>
        <w:jc w:val="both"/>
        <w:rPr>
          <w:rFonts w:ascii="Book Antiqua" w:hAnsi="Book Antiqua"/>
          <w:lang w:val="fi-FI"/>
        </w:rPr>
      </w:pPr>
      <w:r w:rsidRPr="00AD02AE">
        <w:rPr>
          <w:rStyle w:val="ReferensiCatatanKaki"/>
          <w:rFonts w:ascii="Book Antiqua" w:hAnsi="Book Antiqua"/>
        </w:rPr>
        <w:footnoteRef/>
      </w:r>
      <w:r w:rsidRPr="00103A30">
        <w:rPr>
          <w:rFonts w:ascii="Book Antiqua" w:hAnsi="Book Antiqua"/>
          <w:lang w:val="fi-FI"/>
        </w:rPr>
        <w:t xml:space="preserve"> </w:t>
      </w:r>
      <w:r w:rsidRPr="00AD02AE">
        <w:rPr>
          <w:rFonts w:ascii="Book Antiqua" w:hAnsi="Book Antiqua"/>
        </w:rPr>
        <w:fldChar w:fldCharType="begin" w:fldLock="1"/>
      </w:r>
      <w:r w:rsidR="00F44914" w:rsidRPr="00103A30">
        <w:rPr>
          <w:rFonts w:ascii="Book Antiqua" w:hAnsi="Book Antiqua"/>
          <w:lang w:val="fi-FI"/>
        </w:rPr>
        <w:instrText>ADDIN CSL_CITATION {"citationItems":[{"id":"ITEM-1","itemData":{"author":[{"dropping-particle":"","family":"Mustofa","given":"Amirul","non-dropping-particle":"","parse-names":false,"suffix":""}],"id":"ITEM-1","issued":{"date-parts":[["2020"]]},"number-of-pages":"156","publisher":"Unitomo Press","publisher-place":"Surabaya","title":"EKONOMI POLITIK PEMBANGUNAN: KEBIJAKAN PRIVATISASI DAN ALIANSI POLITIK BUMN","type":"book"},"uris":["http://www.mendeley.com/documents/?uuid=85316261-d25b-4139-9835-76f40d637f91"]}],"mendeley":{"formattedCitation":"Amirul Mustofa, &lt;i&gt;EKONOMI POLITIK PEMBANGUNAN: KEBIJAKAN PRIVATISASI DAN ALIANSI POLITIK BUMN&lt;/i&gt; (Surabaya: Unitomo Press, 2020).","plainTextFormattedCitation":"Amirul Mustofa, EKONOMI POLITIK PEMBANGUNAN: KEBIJAKAN PRIVATISASI DAN ALIANSI POLITIK BUMN (Surabaya: Unitomo Press, 2020).","previouslyFormattedCitation":"Amirul Mustofa, &lt;i&gt;EKONOMI POLITIK PEMBANGUNAN: KEBIJAKAN PRIVATISASI DAN ALIANSI POLITIK BUMN&lt;/i&gt; (Surabaya: Unitomo Press, 2020)."},"properties":{"noteIndex":9},"schema":"https://github.com/citation-style-language/schema/raw/master/csl-citation.json"}</w:instrText>
      </w:r>
      <w:r w:rsidRPr="00AD02AE">
        <w:rPr>
          <w:rFonts w:ascii="Book Antiqua" w:hAnsi="Book Antiqua"/>
        </w:rPr>
        <w:fldChar w:fldCharType="separate"/>
      </w:r>
      <w:r w:rsidRPr="00103A30">
        <w:rPr>
          <w:rFonts w:ascii="Book Antiqua" w:hAnsi="Book Antiqua"/>
          <w:noProof/>
          <w:lang w:val="fi-FI"/>
        </w:rPr>
        <w:t xml:space="preserve">Amirul Mustofa, </w:t>
      </w:r>
      <w:r w:rsidRPr="00103A30">
        <w:rPr>
          <w:rFonts w:ascii="Book Antiqua" w:hAnsi="Book Antiqua"/>
          <w:i/>
          <w:noProof/>
          <w:lang w:val="fi-FI"/>
        </w:rPr>
        <w:t>EKONOMI POLITIK PEMBANGUNAN: KEBIJAKAN PRIVATISASI DAN ALIANSI POLITIK BUMN</w:t>
      </w:r>
      <w:r w:rsidRPr="00103A30">
        <w:rPr>
          <w:rFonts w:ascii="Book Antiqua" w:hAnsi="Book Antiqua"/>
          <w:noProof/>
          <w:lang w:val="fi-FI"/>
        </w:rPr>
        <w:t xml:space="preserve"> (Surabaya: Unitomo Press, 2020).</w:t>
      </w:r>
      <w:r w:rsidRPr="00AD02AE">
        <w:rPr>
          <w:rFonts w:ascii="Book Antiqua" w:hAnsi="Book Antiqua"/>
        </w:rPr>
        <w:fldChar w:fldCharType="end"/>
      </w:r>
    </w:p>
  </w:footnote>
  <w:footnote w:id="10">
    <w:p w14:paraId="54E40483" w14:textId="5FAD630D" w:rsidR="00DB382D" w:rsidRPr="00103A30" w:rsidRDefault="00DB382D" w:rsidP="00AD02AE">
      <w:pPr>
        <w:pStyle w:val="TeksCatatanKaki"/>
        <w:ind w:left="142" w:hanging="142"/>
        <w:jc w:val="both"/>
        <w:rPr>
          <w:rFonts w:ascii="Book Antiqua" w:hAnsi="Book Antiqua"/>
          <w:lang w:val="fi-FI"/>
        </w:rPr>
      </w:pPr>
      <w:r w:rsidRPr="00AD02AE">
        <w:rPr>
          <w:rStyle w:val="ReferensiCatatanKaki"/>
          <w:rFonts w:ascii="Book Antiqua" w:hAnsi="Book Antiqua"/>
        </w:rPr>
        <w:footnoteRef/>
      </w:r>
      <w:r w:rsidRPr="00103A30">
        <w:rPr>
          <w:rFonts w:ascii="Book Antiqua" w:hAnsi="Book Antiqua"/>
          <w:lang w:val="fi-FI"/>
        </w:rPr>
        <w:t xml:space="preserve"> </w:t>
      </w:r>
      <w:r w:rsidRPr="00AD02AE">
        <w:rPr>
          <w:rFonts w:ascii="Book Antiqua" w:hAnsi="Book Antiqua"/>
        </w:rPr>
        <w:fldChar w:fldCharType="begin" w:fldLock="1"/>
      </w:r>
      <w:r w:rsidR="00F44914" w:rsidRPr="00103A30">
        <w:rPr>
          <w:rFonts w:ascii="Book Antiqua" w:hAnsi="Book Antiqua"/>
          <w:lang w:val="fi-FI"/>
        </w:rPr>
        <w:instrText>ADDIN CSL_CITATION {"citationItems":[{"id":"ITEM-1","itemData":{"DOI":"10.62193/ebsdrm65","abstract":"This study analyzes the limitations of charging Public Service Obligation (PSO) fees on State-Owned Enterprises (BUMN) in the form of Persero in Indonesia, which until now has not been specifically regulated in the law. PSO is only mentioned in the clause \"considering the intent and purpose of BUMN,\" which triggers challenges in its implementation without sacrificing the efficiency and profitability of Persero. This study uses a normative legal method, focusing on the study of laws and regulations and legal principles governing the management of BUMN and its role in supporting public policy, with the results showing that the imposition of PSO on BUMN Persero is based on two legal ratios: legal-philosophical and sociological. The legal-philosophical reason comes from the mandate of Article 34 paragraph (3) of the 1945 Constitution, which emphasizes the role of the state in improving the welfare of the community through public services. The sociological reason reflects the role of BUMN as a government tool to help the state achieve its goals. realizing welfare through basic services, where Persero can play a flexible role as an agent of public policy. This study recommends the establishment of a more detailed legal framework to regulate PSO cost limits for BUMN Persero, so that PSO can be implemented proportionally, support the economic balance of BUMN, and provide benefits to the wider community.","author":[{"dropping-particle":"","family":"Anggara","given":"Arya","non-dropping-particle":"","parse-names":false,"suffix":""}],"container-title":"Peradaban Hukum Nusantara","id":"ITEM-1","issue":"1","issued":{"date-parts":[["2024"]]},"page":"96-113","title":"Limitation of Public Service Special Assignment Charges Bond in the Form of a BUMN Persero (State-Owned Enterprises)","type":"article-journal","volume":"1"},"uris":["http://www.mendeley.com/documents/?uuid=3d18e823-464b-45f4-a560-bef378c3623d"]}],"mendeley":{"formattedCitation":"Arya Anggara, “Limitation of Public Service Special Assignment Charges Bond in the Form of a BUMN Persero (State-Owned Enterprises),” &lt;i&gt;Peradaban Hukum Nusantara&lt;/i&gt; 1, no. 1 (2024): 96–113, https://doi.org/10.62193/ebsdrm65.","manualFormatting":"Arya Anggara, “Limitation of Public Service Special Assignment Charges Bond in the Form of a BUMN Persero (State-Owned Enterprises),” Peradaban Hukum Nusantara 1, no. 1 (2024): 96–113.","plainTextFormattedCitation":"Arya Anggara, “Limitation of Public Service Special Assignment Charges Bond in the Form of a BUMN Persero (State-Owned Enterprises),” Peradaban Hukum Nusantara 1, no. 1 (2024): 96–113, https://doi.org/10.62193/ebsdrm65.","previouslyFormattedCitation":"Arya Anggara, “Limitation of Public Service Special Assignment Charges Bond in the Form of a BUMN Persero (State-Owned Enterprises),” &lt;i&gt;Peradaban Hukum Nusantara&lt;/i&gt; 1, no. 1 (2024): 96–113, https://doi.org/10.62193/ebsdrm65."},"properties":{"noteIndex":10},"schema":"https://github.com/citation-style-language/schema/raw/master/csl-citation.json"}</w:instrText>
      </w:r>
      <w:r w:rsidRPr="00AD02AE">
        <w:rPr>
          <w:rFonts w:ascii="Book Antiqua" w:hAnsi="Book Antiqua"/>
        </w:rPr>
        <w:fldChar w:fldCharType="separate"/>
      </w:r>
      <w:r w:rsidRPr="00103A30">
        <w:rPr>
          <w:rFonts w:ascii="Book Antiqua" w:hAnsi="Book Antiqua"/>
          <w:noProof/>
          <w:lang w:val="fi-FI"/>
        </w:rPr>
        <w:t xml:space="preserve">Arya Anggara, “Limitation of Public Service Special Assignment Charges Bond in the Form of a BUMN Persero (State-Owned Enterprises),” </w:t>
      </w:r>
      <w:r w:rsidRPr="00103A30">
        <w:rPr>
          <w:rFonts w:ascii="Book Antiqua" w:hAnsi="Book Antiqua"/>
          <w:i/>
          <w:noProof/>
          <w:lang w:val="fi-FI"/>
        </w:rPr>
        <w:t>Peradaban Hukum Nusantara</w:t>
      </w:r>
      <w:r w:rsidRPr="00103A30">
        <w:rPr>
          <w:rFonts w:ascii="Book Antiqua" w:hAnsi="Book Antiqua"/>
          <w:noProof/>
          <w:lang w:val="fi-FI"/>
        </w:rPr>
        <w:t xml:space="preserve"> 1, no. 1 (2024): 96–113.</w:t>
      </w:r>
      <w:r w:rsidRPr="00AD02AE">
        <w:rPr>
          <w:rFonts w:ascii="Book Antiqua" w:hAnsi="Book Antiqua"/>
        </w:rPr>
        <w:fldChar w:fldCharType="end"/>
      </w:r>
    </w:p>
  </w:footnote>
  <w:footnote w:id="11">
    <w:p w14:paraId="53DED356" w14:textId="7EC1636A" w:rsidR="002A43A9" w:rsidRPr="00103A30" w:rsidRDefault="002A43A9" w:rsidP="00AD02AE">
      <w:pPr>
        <w:pStyle w:val="TeksCatatanKaki"/>
        <w:ind w:left="142" w:hanging="142"/>
        <w:jc w:val="both"/>
        <w:rPr>
          <w:rFonts w:ascii="Book Antiqua" w:hAnsi="Book Antiqua" w:cs="Times New Roman"/>
          <w:lang w:val="fi-FI"/>
        </w:rPr>
      </w:pPr>
      <w:r w:rsidRPr="00AD02AE">
        <w:rPr>
          <w:rStyle w:val="ReferensiCatatanKaki"/>
          <w:rFonts w:ascii="Book Antiqua" w:hAnsi="Book Antiqua"/>
        </w:rPr>
        <w:footnoteRef/>
      </w:r>
      <w:r w:rsidRPr="00103A30">
        <w:rPr>
          <w:rFonts w:ascii="Book Antiqua" w:hAnsi="Book Antiqua"/>
          <w:lang w:val="fi-FI"/>
        </w:rPr>
        <w:t xml:space="preserve"> </w:t>
      </w:r>
      <w:r w:rsidRPr="00AD02AE">
        <w:rPr>
          <w:rFonts w:ascii="Book Antiqua" w:hAnsi="Book Antiqua" w:cs="Times New Roman"/>
        </w:rPr>
        <w:fldChar w:fldCharType="begin" w:fldLock="1"/>
      </w:r>
      <w:r w:rsidR="00F44914" w:rsidRPr="00103A30">
        <w:rPr>
          <w:rFonts w:ascii="Book Antiqua" w:hAnsi="Book Antiqua" w:cs="Times New Roman"/>
          <w:lang w:val="fi-FI"/>
        </w:rPr>
        <w:instrText>ADDIN CSL_CITATION {"citationItems":[{"id":"ITEM-1","itemData":{"author":[{"dropping-particle":"","family":"Negara","given":"Dharma Setiawan","non-dropping-particle":"","parse-names":false,"suffix":""}],"id":"ITEM-1","issued":{"date-parts":[["2025"]]},"number-of-pages":"271","publisher":"Cipta Media Nusantara (CMN)","publisher-place":"Surabaya","title":"Holding Investasi dan Holding Operasional dalam Tata Kelola BUMN: Perspektif UU No. 1 Tahun 2025","type":"book"},"uris":["http://www.mendeley.com/documents/?uuid=28a6d328-dee2-4087-b98e-988092b6d9df"]}],"mendeley":{"formattedCitation":"Dharma Setiawan Negara, &lt;i&gt;Holding Investasi Dan Holding Operasional Dalam Tata Kelola BUMN: Perspektif UU No. 1 Tahun 2025&lt;/i&gt; (Surabaya: Cipta Media Nusantara (CMN), 2025).","plainTextFormattedCitation":"Dharma Setiawan Negara, Holding Investasi Dan Holding Operasional Dalam Tata Kelola BUMN: Perspektif UU No. 1 Tahun 2025 (Surabaya: Cipta Media Nusantara (CMN), 2025).","previouslyFormattedCitation":"Dharma Setiawan Negara, &lt;i&gt;Holding Investasi Dan Holding Operasional Dalam Tata Kelola BUMN: Perspektif UU No. 1 Tahun 2025&lt;/i&gt; (Surabaya: Cipta Media Nusantara (CMN), 2025)."},"properties":{"noteIndex":11},"schema":"https://github.com/citation-style-language/schema/raw/master/csl-citation.json"}</w:instrText>
      </w:r>
      <w:r w:rsidRPr="00AD02AE">
        <w:rPr>
          <w:rFonts w:ascii="Book Antiqua" w:hAnsi="Book Antiqua" w:cs="Times New Roman"/>
        </w:rPr>
        <w:fldChar w:fldCharType="separate"/>
      </w:r>
      <w:r w:rsidRPr="00103A30">
        <w:rPr>
          <w:rFonts w:ascii="Book Antiqua" w:hAnsi="Book Antiqua" w:cs="Times New Roman"/>
          <w:noProof/>
          <w:lang w:val="fi-FI"/>
        </w:rPr>
        <w:t xml:space="preserve">Dharma Setiawan Negara, </w:t>
      </w:r>
      <w:r w:rsidRPr="00103A30">
        <w:rPr>
          <w:rFonts w:ascii="Book Antiqua" w:hAnsi="Book Antiqua" w:cs="Times New Roman"/>
          <w:i/>
          <w:noProof/>
          <w:lang w:val="fi-FI"/>
        </w:rPr>
        <w:t>Holding Investasi Dan Holding Operasional Dalam Tata Kelola BUMN: Perspektif UU No. 1 Tahun 2025</w:t>
      </w:r>
      <w:r w:rsidRPr="00103A30">
        <w:rPr>
          <w:rFonts w:ascii="Book Antiqua" w:hAnsi="Book Antiqua" w:cs="Times New Roman"/>
          <w:noProof/>
          <w:lang w:val="fi-FI"/>
        </w:rPr>
        <w:t xml:space="preserve"> (Surabaya: Cipta Media Nusantara (CMN), 2025).</w:t>
      </w:r>
      <w:r w:rsidRPr="00AD02AE">
        <w:rPr>
          <w:rFonts w:ascii="Book Antiqua" w:hAnsi="Book Antiqua" w:cs="Times New Roman"/>
        </w:rPr>
        <w:fldChar w:fldCharType="end"/>
      </w:r>
    </w:p>
  </w:footnote>
  <w:footnote w:id="12">
    <w:p w14:paraId="2315B16D" w14:textId="5C2E1C79" w:rsidR="00372843" w:rsidRPr="00AD02AE" w:rsidRDefault="00372843"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{"citationItems":[{"id":"ITEM-1","itemData":{"author":[{"dropping-particle":"","family":"Mifta","given":"Arifin","non-dropping-particle":"","parse-names":false,"suffix":""}],"id":"ITEM-1","issued":{"date-parts":[["2022"]]},"number-of-pages":"22","title":"Membangun konsep hukum tanggung jawab sosial perusahaan ( corporate social responsibility ) melalui pendekatan kesejahteraan sosial","type":"thesis"},"uris":["http://www.mendeley.com/documents/?uuid=3abf0255-2e46-4cc7-9920-371acd91bcd9"]}],"mendeley":{"formattedCitation":"Arifin Mifta, “Membangun Konsep Hukum Tanggung Jawab Sosial Perusahaan ( Corporate Social Responsibility ) Melalui Pendekatan Kesejahteraan Sosial” (2022).","plainTextFormattedCitation":"Arifin Mifta, “Membangun Konsep Hukum Tanggung Jawab Sosial Perusahaan ( Corporate Social Responsibility ) Melalui Pendekatan Kesejahteraan Sosial” (2022).","previouslyFormattedCitation":"Arifin Mifta, “Membangun Konsep Hukum Tanggung Jawab Sosial Perusahaan ( Corporate Social Responsibility ) Melalui Pendekatan Kesejahteraan Sosial” (2022)."},"properties":{"noteIndex":12},"schema":"https://github.com/citation-style-language/schema/raw/master/csl-citation.json"}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Arifin Mifta, “Membangun Konsep Hukum Tanggung Jawab Sosial Perusahaan ( Corporate Social Responsibility ) Melalui Pendekatan Kesejahteraan Sosial” (2022).</w:t>
      </w:r>
      <w:r w:rsidRPr="00AD02AE">
        <w:rPr>
          <w:rFonts w:ascii="Book Antiqua" w:hAnsi="Book Antiqua"/>
        </w:rPr>
        <w:fldChar w:fldCharType="end"/>
      </w:r>
    </w:p>
  </w:footnote>
  <w:footnote w:id="13">
    <w:p w14:paraId="0BF5AD72" w14:textId="73E46278" w:rsidR="008704EB" w:rsidRPr="00AD02AE" w:rsidRDefault="008704EB"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F44914" w:rsidRPr="00AD02AE">
        <w:rPr>
          <w:rFonts w:ascii="Book Antiqua" w:hAnsi="Book Antiqua"/>
        </w:rPr>
        <w:instrText>ADDIN CSL_CITATION {"citationItems":[{"id":"ITEM-1","itemData":{"author":[{"dropping-particle":"","family":"Rasji","given":"","non-dropping-particle":"","parse-names":false,"suffix":""},{"dropping-particle":"","family":"Darmansyah","given":"Erick","non-dropping-particle":"","parse-names":false,"suffix":""}],"container-title":"Rewang Rencang : Jurnal Hukum Lex Generalis","id":"ITEM-1","issue":"10","issued":{"date-parts":[["2024"]]},"page":"1-15","title":"ANALISIS HUKUM TERHADAP PERLUASANHAK MONOPOLI KEPADA BADAN USAHA MILIK NEGARA OLEH PRESIDEN: KAJIAN BERDASARKAN PERSPEKTIF FILSAFAT HUKUM","type":"article-journal","volume":"5"},"uris":["http://www.mendeley.com/documents/?uuid=f90f12cb-4ba6-4ed7-b4e1-bf9b43639492"]}],"mendeley":{"formattedCitation":"Rasji and Erick Darmansyah, “ANALISIS HUKUM TERHADAP PERLUASANHAK MONOPOLI KEPADA BADAN USAHA MILIK NEGARA OLEH PRESIDEN: KAJIAN BERDASARKAN PERSPEKTIF FILSAFAT HUKUM,” &lt;i&gt;Rewang Rencang</w:instrText>
      </w:r>
      <w:r w:rsidR="00F44914" w:rsidRPr="00AD02AE">
        <w:rPr>
          <w:rFonts w:ascii="Times New Roman" w:hAnsi="Times New Roman" w:cs="Times New Roman"/>
        </w:rPr>
        <w:instrText> </w:instrText>
      </w:r>
      <w:r w:rsidR="00F44914" w:rsidRPr="00AD02AE">
        <w:rPr>
          <w:rFonts w:ascii="Book Antiqua" w:hAnsi="Book Antiqua"/>
        </w:rPr>
        <w:instrText>: Jurnal Hukum Lex Generalis&lt;/i&gt; 5, no. 10 (2024): 1</w:instrText>
      </w:r>
      <w:r w:rsidR="00F44914" w:rsidRPr="00AD02AE">
        <w:rPr>
          <w:rFonts w:ascii="Book Antiqua" w:hAnsi="Book Antiqua" w:cs="Book Antiqua"/>
        </w:rPr>
        <w:instrText>–</w:instrText>
      </w:r>
      <w:r w:rsidR="00F44914" w:rsidRPr="00AD02AE">
        <w:rPr>
          <w:rFonts w:ascii="Book Antiqua" w:hAnsi="Book Antiqua"/>
        </w:rPr>
        <w:instrText>15.","manualFormatting":"Rasji and Erick Darmansyah, “ANALISIS HUKUM TERHADAP PERLUASAN HAK MONOPOLI KEPADA BADAN USAHA MILIK NEGARA OLEH PRESIDEN: KAJIAN BERDASARKAN PERSPEKTIF FILSAFAT HUKUM,” Rewang Rencang</w:instrText>
      </w:r>
      <w:r w:rsidR="00F44914" w:rsidRPr="00AD02AE">
        <w:rPr>
          <w:rFonts w:ascii="Times New Roman" w:hAnsi="Times New Roman" w:cs="Times New Roman"/>
        </w:rPr>
        <w:instrText> </w:instrText>
      </w:r>
      <w:r w:rsidR="00F44914" w:rsidRPr="00AD02AE">
        <w:rPr>
          <w:rFonts w:ascii="Book Antiqua" w:hAnsi="Book Antiqua"/>
        </w:rPr>
        <w:instrText>: Jurnal Hukum Lex Generalis 5, no. 10 (2024): 1</w:instrText>
      </w:r>
      <w:r w:rsidR="00F44914" w:rsidRPr="00AD02AE">
        <w:rPr>
          <w:rFonts w:ascii="Book Antiqua" w:hAnsi="Book Antiqua" w:cs="Book Antiqua"/>
        </w:rPr>
        <w:instrText>–</w:instrText>
      </w:r>
      <w:r w:rsidR="00F44914" w:rsidRPr="00AD02AE">
        <w:rPr>
          <w:rFonts w:ascii="Book Antiqua" w:hAnsi="Book Antiqua"/>
        </w:rPr>
        <w:instrText xml:space="preserve">15.","plainTextFormattedCitation":"Rasji and Erick Darmansyah, </w:instrText>
      </w:r>
      <w:r w:rsidR="00F44914" w:rsidRPr="00AD02AE">
        <w:rPr>
          <w:rFonts w:ascii="Book Antiqua" w:hAnsi="Book Antiqua" w:cs="Book Antiqua"/>
        </w:rPr>
        <w:instrText>“</w:instrText>
      </w:r>
      <w:r w:rsidR="00F44914" w:rsidRPr="00AD02AE">
        <w:rPr>
          <w:rFonts w:ascii="Book Antiqua" w:hAnsi="Book Antiqua"/>
        </w:rPr>
        <w:instrText>ANALISIS HUKUM TERHADAP PERLUASANHAK MONOPOLI KEPADA BADAN USAHA MILIK NEGARA OLEH PRESIDEN: KAJIAN BERDASARKAN PERSPEKTIF FILSAFAT HUKUM,</w:instrText>
      </w:r>
      <w:r w:rsidR="00F44914" w:rsidRPr="00AD02AE">
        <w:rPr>
          <w:rFonts w:ascii="Book Antiqua" w:hAnsi="Book Antiqua" w:cs="Book Antiqua"/>
        </w:rPr>
        <w:instrText>”</w:instrText>
      </w:r>
      <w:r w:rsidR="00F44914" w:rsidRPr="00AD02AE">
        <w:rPr>
          <w:rFonts w:ascii="Book Antiqua" w:hAnsi="Book Antiqua"/>
        </w:rPr>
        <w:instrText xml:space="preserve"> Rewang Rencang</w:instrText>
      </w:r>
      <w:r w:rsidR="00F44914" w:rsidRPr="00AD02AE">
        <w:rPr>
          <w:rFonts w:ascii="Times New Roman" w:hAnsi="Times New Roman" w:cs="Times New Roman"/>
        </w:rPr>
        <w:instrText> </w:instrText>
      </w:r>
      <w:r w:rsidR="00F44914" w:rsidRPr="00AD02AE">
        <w:rPr>
          <w:rFonts w:ascii="Book Antiqua" w:hAnsi="Book Antiqua"/>
        </w:rPr>
        <w:instrText>: Jurnal Hukum Lex Generalis 5, no. 10 (2024): 1</w:instrText>
      </w:r>
      <w:r w:rsidR="00F44914" w:rsidRPr="00AD02AE">
        <w:rPr>
          <w:rFonts w:ascii="Book Antiqua" w:hAnsi="Book Antiqua" w:cs="Book Antiqua"/>
        </w:rPr>
        <w:instrText>–</w:instrText>
      </w:r>
      <w:r w:rsidR="00F44914" w:rsidRPr="00AD02AE">
        <w:rPr>
          <w:rFonts w:ascii="Book Antiqua" w:hAnsi="Book Antiqua"/>
        </w:rPr>
        <w:instrText>15.","previouslyFormattedCitation":"Rasji and Erick Darmansyah, “ANALISIS HUKUM TERHADAP PERLUASANHAK MONOPOLI KEPADA BADAN USAHA MILIK NEGARA OLEH PRESIDEN: KAJIAN BERDASARKAN PERSPEKTIF FILSAFAT HUKUM,” &lt;i&gt;Rewang Rencang</w:instrText>
      </w:r>
      <w:r w:rsidR="00F44914" w:rsidRPr="00AD02AE">
        <w:rPr>
          <w:rFonts w:ascii="Times New Roman" w:hAnsi="Times New Roman" w:cs="Times New Roman"/>
        </w:rPr>
        <w:instrText> </w:instrText>
      </w:r>
      <w:r w:rsidR="00F44914" w:rsidRPr="00AD02AE">
        <w:rPr>
          <w:rFonts w:ascii="Book Antiqua" w:hAnsi="Book Antiqua"/>
        </w:rPr>
        <w:instrText>: Jurnal Hukum Lex Generalis&lt;/i&gt; 5, no. 10 (2024): 1</w:instrText>
      </w:r>
      <w:r w:rsidR="00F44914" w:rsidRPr="00AD02AE">
        <w:rPr>
          <w:rFonts w:ascii="Book Antiqua" w:hAnsi="Book Antiqua" w:cs="Book Antiqua"/>
        </w:rPr>
        <w:instrText>–</w:instrText>
      </w:r>
      <w:r w:rsidR="00F44914" w:rsidRPr="00AD02AE">
        <w:rPr>
          <w:rFonts w:ascii="Book Antiqua" w:hAnsi="Book Antiqua"/>
        </w:rPr>
        <w:instrText>15."},"properties":{"noteIndex":13},"schema":"https://github.com/citation-style-language/schema/raw/master/csl-citation.json"}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Rasji and Erick Darmansyah, “ANALISIS HUKUM TERHADAP PERLUASAN HAK MONOPOLI KEPADA BADAN USAHA MILIK NEGARA OLEH PRESIDEN: KAJIAN BERDASARKAN PERSPEKTIF FILSAFAT HUKUM,” </w:t>
      </w:r>
      <w:r w:rsidRPr="00AD02AE">
        <w:rPr>
          <w:rFonts w:ascii="Book Antiqua" w:hAnsi="Book Antiqua"/>
          <w:i/>
          <w:noProof/>
        </w:rPr>
        <w:t>Rewang Rencang</w:t>
      </w:r>
      <w:r w:rsidRPr="00AD02AE">
        <w:rPr>
          <w:rFonts w:ascii="Times New Roman" w:hAnsi="Times New Roman" w:cs="Times New Roman"/>
          <w:i/>
          <w:noProof/>
        </w:rPr>
        <w:t> </w:t>
      </w:r>
      <w:r w:rsidRPr="00AD02AE">
        <w:rPr>
          <w:rFonts w:ascii="Book Antiqua" w:hAnsi="Book Antiqua"/>
          <w:i/>
          <w:noProof/>
        </w:rPr>
        <w:t>: Jurnal Hukum Lex Generalis</w:t>
      </w:r>
      <w:r w:rsidRPr="00AD02AE">
        <w:rPr>
          <w:rFonts w:ascii="Book Antiqua" w:hAnsi="Book Antiqua"/>
          <w:noProof/>
        </w:rPr>
        <w:t xml:space="preserve"> 5, no. 10 (2024): 1</w:t>
      </w:r>
      <w:r w:rsidRPr="00AD02AE">
        <w:rPr>
          <w:rFonts w:ascii="Book Antiqua" w:hAnsi="Book Antiqua" w:cs="Aptos"/>
          <w:noProof/>
        </w:rPr>
        <w:t>–</w:t>
      </w:r>
      <w:r w:rsidRPr="00AD02AE">
        <w:rPr>
          <w:rFonts w:ascii="Book Antiqua" w:hAnsi="Book Antiqua"/>
          <w:noProof/>
        </w:rPr>
        <w:t>15.</w:t>
      </w:r>
      <w:r w:rsidRPr="00AD02AE">
        <w:rPr>
          <w:rFonts w:ascii="Book Antiqua" w:hAnsi="Book Antiqua"/>
        </w:rPr>
        <w:fldChar w:fldCharType="end"/>
      </w:r>
    </w:p>
  </w:footnote>
  <w:footnote w:id="14">
    <w:p w14:paraId="5ABBABC5" w14:textId="046F1DD4" w:rsidR="007F2741" w:rsidRPr="00AD02AE" w:rsidRDefault="007F2741"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{"citationItems":[{"id":"ITEM-1","itemData":{"author":[{"dropping-particle":"","family":"Supriajat","given":"Atep Wahyu","non-dropping-particle":"","parse-names":false,"suffix":""},{"dropping-particle":"","family":"Kurniawan","given":"I Gede Agus","non-dropping-particle":"","parse-names":false,"suffix":""}],"container-title":"PENAJUSTISIA:MEDIAKOMUNIKASIDANKAJIANHUKUM","id":"ITEM-1","issue":"2","issued":{"date-parts":[["2025"]]},"page":"7152-7169","title":"The Independence of State-Owned Enterprises Following the Enactment of Law No. 1 of 2025, Reviewed from a Business Law Perspective","type":"article-journal","volume":"24"},"uris":["http://www.mendeley.com/documents/?uuid=6bded986-7066-4b5f-8b81-f61aeef04f63"]}],"mendeley":{"formattedCitation":"Atep Wahyu Supriajat and I Gede Agus Kurniawan, “The Independence of State-Owned Enterprises Following the Enactment of Law No. 1 of 2025, Reviewed from a Business Law Perspective,” &lt;i&gt;PENAJUSTISIA:MEDIAKOMUNIKASIDANKAJIANHUKUM&lt;/i&gt; 24, no. 2 (2025): 7152–69.","plainTextFormattedCitation":"Atep Wahyu Supriajat and I Gede Agus Kurniawan, “The Independence of State-Owned Enterprises Following the Enactment of Law No. 1 of 2025, Reviewed from a Business Law Perspective,” PENAJUSTISIA:MEDIAKOMUNIKASIDANKAJIANHUKUM 24, no. 2 (2025): 7152–69.","previouslyFormattedCitation":"Atep Wahyu Supriajat and I Gede Agus Kurniawan, “The Independence of State-Owned Enterprises Following the Enactment of Law No. 1 of 2025, Reviewed from a Business Law Perspective,” &lt;i&gt;PENAJUSTISIA:MEDIAKOMUNIKASIDANKAJIANHUKUM&lt;/i&gt; 24, no. 2 (2025): 7152–69."},"properties":{"noteIndex":14},"schema":"https://github.com/citation-style-language/schema/raw/master/csl-citation.json"}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Atep Wahyu Supriajat and I Gede Agus Kurniawan, “The Independence of State-Owned Enterprises Following the Enactment of Law No. 1 of 2025, Reviewed from a Business Law Perspective,” </w:t>
      </w:r>
      <w:r w:rsidRPr="00AD02AE">
        <w:rPr>
          <w:rFonts w:ascii="Book Antiqua" w:hAnsi="Book Antiqua"/>
          <w:i/>
          <w:noProof/>
        </w:rPr>
        <w:t>PENAJUSTISIA:MEDIAKOMUNIKASIDANKAJIANHUKUM</w:t>
      </w:r>
      <w:r w:rsidRPr="00AD02AE">
        <w:rPr>
          <w:rFonts w:ascii="Book Antiqua" w:hAnsi="Book Antiqua"/>
          <w:noProof/>
        </w:rPr>
        <w:t xml:space="preserve"> 24, no. 2 (2025): 7152–69.</w:t>
      </w:r>
      <w:r w:rsidRPr="00AD02AE">
        <w:rPr>
          <w:rFonts w:ascii="Book Antiqua" w:hAnsi="Book Antiqua"/>
        </w:rPr>
        <w:fldChar w:fldCharType="end"/>
      </w:r>
    </w:p>
  </w:footnote>
  <w:footnote w:id="15">
    <w:p w14:paraId="6CB994E2" w14:textId="0D5384A4" w:rsidR="007F2741" w:rsidRPr="00AD02AE" w:rsidRDefault="007F2741"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{"citationItems":[{"id":"ITEM-1","itemData":{"abstract":"Kedudukan hukum Badan Usaha Milik Negara (BUMN) tidak bisa dilepaskan dengan konsepsi keuangan negara. Selain dualisme perundang-undangan yang berlaku berkaitan dengan keuangan negara, juga terdapat persinggungan antara hukum privat dan hukum publik. Idealnya penggunaaan mekanisme gugatan perdata, pengawasan internal dan penerapan keberlakuan ranah hukum privat terhadap BUMN Persero berdasarkan Undang-Undang Perseroan Terbatas terhadap indikasi penyelewengan pengelolaan BUMN, sehingga dimungkinan Direksi BUMN bertanggung jawab secara pidana atas kerugian BUMN. Uji Materi Undang-Undang Badan Pemeriksa Keuangan (BPK) didasari oleh pandangan bahwa lingkup keuangan negara hanyalah APBN, sedangkan kekayaan negara di luar APBN, seperti kekayaan yang dipisahkan pada BUMN Persero bukanlah keuangan negara. Selain itu, persoalan konstitusionalitas kewenangan BPK dalam memeriksa pengelolaan keuangan negara yang dilakukan terhadap BUMN dianggap tidak sejalan dengan tujuan BUMN yang diharapkan mandiri, mengedepankan prinsip tata kelola perusahaan yang baik (good corporate governance), meskipun pada akhirnya Mahkamah Konstitusi dalam Putusan Nomor 48 dan Nomor 62/PUU-XI/2013 menolak permohonan tersebut dan BPK tetap berwenang melakukan pengawasan terhadap BUMN","author":[{"dropping-particle":"","family":"Arifardhani","given":"Yoyo","non-dropping-particle":"","parse-names":false,"suffix":""}],"container-title":"Otentik’s: Jurnal Hukum Kenotariatan","id":"ITEM-1","issue":"1","issued":{"date-parts":[["2019"]]},"page":"54-72","title":"Kemandirian Badan Usaha Milik Negara: Pesinggungan Antara Hukum Privat dan Hukum Publik","type":"article-journal","volume":"1"},"uris":["http://www.mendeley.com/documents/?uuid=aca16068-8bf8-4d3e-bb5c-fdaef30954be"]}],"mendeley":{"formattedCitation":"Yoyo Arifardhani, “Kemandirian Badan Usaha Milik Negara: Pesinggungan Antara Hukum Privat Dan Hukum Publik,” &lt;i&gt;Otentik’s: Jurnal Hukum Kenotariatan&lt;/i&gt; 1, no. 1 (2019): 54–72.","plainTextFormattedCitation":"Yoyo Arifardhani, “Kemandirian Badan Usaha Milik Negara: Pesinggungan Antara Hukum Privat Dan Hukum Publik,” Otentik’s: Jurnal Hukum Kenotariatan 1, no. 1 (2019): 54–72.","previouslyFormattedCitation":"Yoyo Arifardhani, “Kemandirian Badan Usaha Milik Negara: Pesinggungan Antara Hukum Privat Dan Hukum Publik,” &lt;i&gt;Otentik’s: Jurnal Hukum Kenotariatan&lt;/i&gt; 1, no. 1 (2019): 54–72."},"properties":{"noteIndex":15},"schema":"https://github.com/citation-style-language/schema/raw/master/csl-citation.json"}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Yoyo Arifardhani, “Kemandirian Badan Usaha Milik Negara: Pesinggungan Antara Hukum Privat Dan Hukum Publik,” </w:t>
      </w:r>
      <w:r w:rsidRPr="00AD02AE">
        <w:rPr>
          <w:rFonts w:ascii="Book Antiqua" w:hAnsi="Book Antiqua"/>
          <w:i/>
          <w:noProof/>
        </w:rPr>
        <w:t>Otentik’s: Jurnal Hukum Kenotariatan</w:t>
      </w:r>
      <w:r w:rsidRPr="00AD02AE">
        <w:rPr>
          <w:rFonts w:ascii="Book Antiqua" w:hAnsi="Book Antiqua"/>
          <w:noProof/>
        </w:rPr>
        <w:t xml:space="preserve"> 1, no. 1 (2019): 54–72.</w:t>
      </w:r>
      <w:r w:rsidRPr="00AD02AE">
        <w:rPr>
          <w:rFonts w:ascii="Book Antiqua" w:hAnsi="Book Antiqua"/>
        </w:rPr>
        <w:fldChar w:fldCharType="end"/>
      </w:r>
    </w:p>
  </w:footnote>
  <w:footnote w:id="16">
    <w:p w14:paraId="1EA6B0B1" w14:textId="014D9B54" w:rsidR="00B90CAB" w:rsidRPr="00AD02AE" w:rsidRDefault="00B90CAB"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{"citationItems":[{"id":"ITEM-1","itemData":{"DOI":"10.37893/jbh.v13i2.952","ISSN":"1410-0088","abstract":"Pemisahan tanggung jawab publik dan privat dalam pengelolaan Badan Usaha Milik Negara (BUMN) sering menimbulkan dilema operasional yang memengaruhi kinerja dan daya saing korporasi tersebut. Penelitian ini bertujuan mengkaji independensi BUMN dalam meningkatkan daya saingnya, dengan menekankan peran BUMN sebagai entitas hukum terpisah berdasarkan prinsip business judgment rule dan ketentuan hukum yang berlaku. Pendekatan yuridis normatif diterapkan melalui analisis terhadap regulasi utama, termasuk UU Perseroan Terbatas, UU BUMN, dan UU Keuangan Negara. Hasil penelitian mengungkap bahwa ambiguitas pengaturan hukum antara peran BUMN sebagai entitas publik dan privat menghambat efisiensi manajemen dan tata kelola. Selain itu, beban tanggung jawab sosial yang tidak diimbangi dukungan finansial memadai turut menjadi kendala utama. Meski demikian, penerapan tata kelola yang baik serta pengurangan intervensi negara dapat menjadi langkah strategis untuk mendorong kemandirian dan profesionalisme BUMN. Simpulan penelitian ini menegaskan perlunya reformasi regulasi untuk memisahkan keuangan BUMN dari anggaran negara, sehingga memungkinkan terciptanya korporasi yang kompetitif dan mandiri. Temuan ini memberikan kontribusi penting dalam memahami dinamika hukum dan ekonomi terkait peran strategis BUMN dalam pembangunan nasional.  ","author":[{"dropping-particle":"","family":"Firmansyah","given":"Amir","non-dropping-particle":"","parse-names":false,"suffix":""},{"dropping-particle":"","family":"Machmud","given":"Aris","non-dropping-particle":"","parse-names":false,"suffix":""},{"dropping-particle":"","family":"Suparji","given":"Suparji","non-dropping-particle":"","parse-names":false,"suffix":""}],"container-title":"Binamulia Hukum","id":"ITEM-1","issue":"2","issued":{"date-parts":[["2024"]]},"page":"517-528","title":"Peran BUMN sebagai Pilar Utama Ekonomi Nasional yang Mandiri: Sebuah Kajian Hukum Korporasi","type":"article-journal","volume":"13"},"uris":["http://www.mendeley.com/documents/?uuid=da64d076-76b0-4ad3-8c86-8238e3a67925"]}],"mendeley":{"formattedCitation":"Amir Firmansyah, Aris Machmud, and Suparji Suparji, “Peran BUMN Sebagai Pilar Utama Ekonomi Nasional Yang Mandiri: Sebuah Kajian Hukum Korporasi,” &lt;i&gt;Binamulia Hukum&lt;/i&gt; 13, no. 2 (2024): 517–28, https://doi.org/10.37893/jbh.v13i2.952.","manualFormatting":"Amir Firmansyah, Aris Machmud, and Suparji Suparji, “Peran BUMN Sebagai Pilar Utama Ekonomi Nasional Yang Mandiri: Sebuah Kajian Hukum Korporasi,” Binamulia Hukum 13, no. 2 (2024): 517–28.","plainTextFormattedCitation":"Amir Firmansyah, Aris Machmud, and Suparji Suparji, “Peran BUMN Sebagai Pilar Utama Ekonomi Nasional Yang Mandiri: Sebuah Kajian Hukum Korporasi,” Binamulia Hukum 13, no. 2 (2024): 517–28, https://doi.org/10.37893/jbh.v13i2.952.","previouslyFormattedCitation":"Amir Firmansyah, Aris Machmud, and Suparji Suparji, “Peran BUMN Sebagai Pilar Utama Ekonomi Nasional Yang Mandiri: Sebuah Kajian Hukum Korporasi,” &lt;i&gt;Binamulia Hukum&lt;/i&gt; 13, no. 2 (2024): 517–28, https://doi.org/10.37893/jbh.v13i2.952."},"properties":{"noteIndex":16},"schema":"https://github.com/citation-style-language/schema/raw/master/csl-citation.json"}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Amir Firmansyah, Aris Machmud, and Suparji Suparji, “Peran BUMN Sebagai Pilar Utama Ekonomi Nasional Yang Mandiri: Sebuah Kajian Hukum Korporasi,” </w:t>
      </w:r>
      <w:r w:rsidRPr="00AD02AE">
        <w:rPr>
          <w:rFonts w:ascii="Book Antiqua" w:hAnsi="Book Antiqua"/>
          <w:i/>
          <w:noProof/>
        </w:rPr>
        <w:t>Binamulia Hukum</w:t>
      </w:r>
      <w:r w:rsidRPr="00AD02AE">
        <w:rPr>
          <w:rFonts w:ascii="Book Antiqua" w:hAnsi="Book Antiqua"/>
          <w:noProof/>
        </w:rPr>
        <w:t xml:space="preserve"> 13, no. 2 (2024): 517–28.</w:t>
      </w:r>
      <w:r w:rsidRPr="00AD02AE">
        <w:rPr>
          <w:rFonts w:ascii="Book Antiqua" w:hAnsi="Book Antiqua"/>
        </w:rPr>
        <w:fldChar w:fldCharType="end"/>
      </w:r>
    </w:p>
  </w:footnote>
  <w:footnote w:id="17">
    <w:p w14:paraId="7EE19D2A" w14:textId="3892530F" w:rsidR="002362CF" w:rsidRPr="00AD02AE" w:rsidRDefault="002362CF"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{"citationItems":[{"id":"ITEM-1","itemData":{"DOI":"10.32832/yustisi.v11i2.16690","ISSN":"1907-5251","abstract":"Penelitian ini menyelidiki penerapan business judgement rule dalam kasus tindak pidana korupsi yang dijelaskan dalam Putusan Nomor: 34/Pid.Sus-TPK/2019/PT.DKI. Penelitian bersifat deskriptif dengan pendekatan yuridis normatif, menggunakan pendekatan peraturan perundang-undangan (statute Approach) dan pendekatan kasus (case approach) dengan menganalisis data sekunder secara kualitatif. Hasil penelitian menunjukkan bahwa doktrin business judgement rule diterapkan pada tingkat pemeriksaan di Pengadilan Negeri Jakarta Pusat, Pengadilan Tinggi DKI Jakarta, dan Mahkamah Agung (judex juris). Terdakwa dinyatakan bersalah pada tingkat pertama dan kedua karena melakukan pelanggaran dalam proses investasi di Blok Basker Manta Gummy (BMG), yang dimiliki oleh Roc Oil Company Limited (ROC Ltd), menyebabkan kerugian uang negara sebesar Rp 568 miliar. Namun, pada tingkat ketiga, terdakwa dibebaskan dengan alasan tindakannya tidak melanggar business judgement rule, ditandai dengan ketiadaan kejadian penipuan, konflik kepentingan, perbuatan melawan hukum, dan kesalahan yang disengaja. Konflik keputusan ini menjadi perhatian karena dapat merugikan di masa depan. Tesis juga menyoroti perlunya peningkatan kompetensi penegak hukum agar memiliki sudut pandang yang seragam dalam menentukan kesesuaian dengan aturan. Selain itu, tesis menekankan bahwa jika direksi mematuhi peraturan dan kebijakan perusahaan serta menerapkan prinsip kehati-hatian dalam pengambilan keputusan bisnis, mereka akan dilindungi oleh doktrin Business Judgment Rule ketika perseroan mengalami kerugian. Namun, jika direksi tidak mematuhi prinsip kehati-hatian atau bertindak ultra vires, doktrin Business Judgment Rule tidak dapat memberikan perlindungan. Terkait bukti atas kesalahan atau kelalaian anggota direksi, pemegang saham dapat mengajukan gugatan derivatif sesuai dengan Pasal 97 ayat (6) Undang-Undang Nomor 40 Tahun 2007 tentang Perseroan Terbatas, dimana pemegang saham yang memenuhi syarat dapat meminta pertanggungjawaban anggota direksi yang bertanggung jawab atas kerugian perseroan akibat kesalahan atau kelalaian\r Kata kunci: Business Judgement Rule, Direksi, BUMN","author":[{"dropping-particle":"","family":"Hamidin","given":"","non-dropping-particle":"","parse-names":false,"suffix":""},{"dropping-particle":"","family":"Siswantari Pratiwi","given":"","non-dropping-particle":"","parse-names":false,"suffix":""},{"dropping-particle":"","family":"Hartono","given":"","non-dropping-particle":"","parse-names":false,"suffix":""}],"container-title":"Yustisi","id":"ITEM-1","issue":"2","issued":{"date-parts":[["2024"]]},"page":"343-357","title":"Analisis Penerapan Prinsip Business Judgement Rule Terkait Dengan Pertanggung Jawaban Pidana Pada Direksi Badan Usaha Milik Negara (Bumn)","type":"article-journal","volume":"11"},"uris":["http://www.mendeley.com/documents/?uuid=9120791a-97d9-4671-b159-80ad2de27dd4"]}],"mendeley":{"formattedCitation":"Hamidin, Siswantari Pratiwi, and Hartono, “Analisis Penerapan Prinsip Business Judgement Rule Terkait Dengan Pertanggung Jawaban Pidana Pada Direksi Badan Usaha Milik Negara (Bumn),” &lt;i&gt;Yustisi&lt;/i&gt; 11, no. 2 (2024): 343–57, https://doi.org/10.32832/yustisi.v11i2.16690.","manualFormatting":"Hamidin, Siswantari Pratiwi, and Hartono, “Analisis Penerapan Prinsip Business Judgement Rule Terkait Dengan Pertanggung Jawaban Pidana Pada Direksi Badan Usaha Milik Negara (Bumn),” Yustisi 11, no. 2 (2024): 343–57.","plainTextFormattedCitation":"Hamidin, Siswantari Pratiwi, and Hartono, “Analisis Penerapan Prinsip Business Judgement Rule Terkait Dengan Pertanggung Jawaban Pidana Pada Direksi Badan Usaha Milik Negara (Bumn),” Yustisi 11, no. 2 (2024): 343–57, https://doi.org/10.32832/yustisi.v11i2.16690.","previouslyFormattedCitation":"Hamidin, Siswantari Pratiwi, and Hartono, “Analisis Penerapan Prinsip Business Judgement Rule Terkait Dengan Pertanggung Jawaban Pidana Pada Direksi Badan Usaha Milik Negara (Bumn),” &lt;i&gt;Yustisi&lt;/i&gt; 11, no. 2 (2024): 343–57, https://doi.org/10.32832/yustisi.v11i2.16690."},"properties":{"noteIndex":17},"schema":"https://github.com/citation-style-language/schema/raw/master/csl-citation.json"}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Hamidin, Siswantari Pratiwi, and Hartono, “Analisis Penerapan Prinsip Business Judgement Rule Terkait Dengan Pertanggung Jawaban Pidana Pada Direksi Badan Usaha Milik Negara (Bumn),” </w:t>
      </w:r>
      <w:r w:rsidRPr="00AD02AE">
        <w:rPr>
          <w:rFonts w:ascii="Book Antiqua" w:hAnsi="Book Antiqua"/>
          <w:i/>
          <w:noProof/>
        </w:rPr>
        <w:t>Yustisi</w:t>
      </w:r>
      <w:r w:rsidRPr="00AD02AE">
        <w:rPr>
          <w:rFonts w:ascii="Book Antiqua" w:hAnsi="Book Antiqua"/>
          <w:noProof/>
        </w:rPr>
        <w:t xml:space="preserve"> 11, no. 2 (2024): 343–57.</w:t>
      </w:r>
      <w:r w:rsidRPr="00AD02AE">
        <w:rPr>
          <w:rFonts w:ascii="Book Antiqua" w:hAnsi="Book Antiqua"/>
        </w:rPr>
        <w:fldChar w:fldCharType="end"/>
      </w:r>
    </w:p>
  </w:footnote>
  <w:footnote w:id="18">
    <w:p w14:paraId="0960E7C1" w14:textId="77B52B0D" w:rsidR="00320C37" w:rsidRPr="00AD02AE" w:rsidRDefault="00320C37"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{"citationItems":[{"id":"ITEM-1","itemData":{"DOI":"10.59031/jkpim.v2i2.385","ISSN":"2964-2418","abstract":"Good Governance merupakan kerangka tata kelola yang merupakan bagian integral dari pola perilaku suatu organisasi, yang mencakup aturan dan norma etika untuk mengamankan ketertiban, integritas, dan prestasi perusahaan atau entitas pemerintahan. Ini mendorong kondisi yang mendukung dan fokus pada pencapaian tujuan organisasi, dengan akibatnya memengaruhi akreditasi organisasi tersebut. Prinsip-prinsip Good Corporate Governance tidak hanya relevan di dalam entitas bisnis, tetapi juga diperlukan dalam berbagai sektor termasuk swasta, pemerintahan, dan bahkan pendidikan. Implementasi tata kelola yang efektif di semua level akan menghasilkan kinerja yang optimal.","author":[{"dropping-particle":"","family":"Puti Surahati Tarigan","given":"","non-dropping-particle":"","parse-names":false,"suffix":""},{"dropping-particle":"","family":"Maya Macia Sari","given":"","non-dropping-particle":"","parse-names":false,"suffix":""},{"dropping-particle":"","family":"Iqbal Purnama","given":"","non-dropping-particle":"","parse-names":false,"suffix":""},{"dropping-particle":"","family":"Tri Sumarti","given":"","non-dropping-particle":"","parse-names":false,"suffix":""}],"container-title":"Jurnal Kajian dan Penalaran Ilmu Manajemen","id":"ITEM-1","issue":"2","issued":{"date-parts":[["2024"]]},"page":"10-24","title":"Korelasi Dan Implementasi Good Corporate Governance Tentang Kinerja Financial Dan Dampaknya Pada Pelayanan Publik Perusahaan Swasta , Rumah Sakit, Pemerintahan, BUMN Serta Perguruan Tinggi","type":"article-journal","volume":"2"},"uris":["http://www.mendeley.com/documents/?uuid=e88bdb49-7972-41f3-abf3-2b983e7ee8a4"]}],"mendeley":{"formattedCitation":"Puti Surahati Tarigan et al., “Korelasi Dan Implementasi Good Corporate Governance Tentang Kinerja Financial Dan Dampaknya Pada Pelayanan Publik Perusahaan Swasta , Rumah Sakit, Pemerintahan, BUMN Serta Perguruan Tinggi,” &lt;i&gt;Jurnal Kajian Dan Penalaran Ilmu Manajemen&lt;/i&gt; 2, no. 2 (2024): 10–24, https://doi.org/10.59031/jkpim.v2i2.385.","manualFormatting":"Puti Surahati Tarigan et al., “Korelasi Dan Implementasi Good Corporate Governance Tentang Kinerja Financial Dan Dampaknya Pada Pelayanan Publik Perusahaan Swasta , Rumah Sakit, Pemerintahan, BUMN Serta Perguruan Tinggi,” Jurnal Kajian Dan Penalaran Ilmu Manajemen 2, no. 2 (2024): 10–24.","plainTextFormattedCitation":"Puti Surahati Tarigan et al., “Korelasi Dan Implementasi Good Corporate Governance Tentang Kinerja Financial Dan Dampaknya Pada Pelayanan Publik Perusahaan Swasta , Rumah Sakit, Pemerintahan, BUMN Serta Perguruan Tinggi,” Jurnal Kajian Dan Penalaran Ilmu Manajemen 2, no. 2 (2024): 10–24, https://doi.org/10.59031/jkpim.v2i2.385.","previouslyFormattedCitation":"Puti Surahati Tarigan et al., “Korelasi Dan Implementasi Good Corporate Governance Tentang Kinerja Financial Dan Dampaknya Pada Pelayanan Publik Perusahaan Swasta , Rumah Sakit, Pemerintahan, BUMN Serta Perguruan Tinggi,” &lt;i&gt;Jurnal Kajian Dan Penalaran Ilmu Manajemen&lt;/i&gt; 2, no. 2 (2024): 10–24, https://doi.org/10.59031/jkpim.v2i2.385."},"properties":{"noteIndex":18},"schema":"https://github.com/citation-style-language/schema/raw/master/csl-citation.json"}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 xml:space="preserve">Puti Surahati Tarigan et al., “Korelasi Dan Implementasi Good Corporate Governance Tentang Kinerja Financial Dan Dampaknya Pada Pelayanan Publik Perusahaan Swasta , Rumah Sakit, Pemerintahan, BUMN Serta Perguruan Tinggi,” </w:t>
      </w:r>
      <w:r w:rsidRPr="00AD02AE">
        <w:rPr>
          <w:rFonts w:ascii="Book Antiqua" w:hAnsi="Book Antiqua"/>
          <w:i/>
          <w:noProof/>
        </w:rPr>
        <w:t>Jurnal Kajian Dan Penalaran Ilmu Manajemen</w:t>
      </w:r>
      <w:r w:rsidRPr="00AD02AE">
        <w:rPr>
          <w:rFonts w:ascii="Book Antiqua" w:hAnsi="Book Antiqua"/>
          <w:noProof/>
        </w:rPr>
        <w:t xml:space="preserve"> 2, no. 2 (2024): 10–24.</w:t>
      </w:r>
      <w:r w:rsidRPr="00AD02AE">
        <w:rPr>
          <w:rFonts w:ascii="Book Antiqua" w:hAnsi="Book Antiqua"/>
        </w:rPr>
        <w:fldChar w:fldCharType="end"/>
      </w:r>
    </w:p>
  </w:footnote>
  <w:footnote w:id="19">
    <w:p w14:paraId="0DE36BA0" w14:textId="2C76D7C9" w:rsidR="00320C37" w:rsidRPr="00AD02AE" w:rsidRDefault="00320C37" w:rsidP="00AD02AE">
      <w:pPr>
        <w:pStyle w:val="TeksCatatanKaki"/>
        <w:ind w:left="142" w:hanging="142"/>
        <w:jc w:val="both"/>
        <w:rPr>
          <w:rFonts w:ascii="Book Antiqua" w:hAnsi="Book Antiqua"/>
        </w:rPr>
      </w:pPr>
      <w:r w:rsidRPr="00AD02AE">
        <w:rPr>
          <w:rStyle w:val="ReferensiCatatanKaki"/>
          <w:rFonts w:ascii="Book Antiqua" w:hAnsi="Book Antiqua"/>
        </w:rPr>
        <w:footnoteRef/>
      </w:r>
      <w:r w:rsidRPr="00AD02AE">
        <w:rPr>
          <w:rFonts w:ascii="Book Antiqua" w:hAnsi="Book Antiqua"/>
        </w:rPr>
        <w:t xml:space="preserve"> </w:t>
      </w:r>
      <w:r w:rsidRPr="00AD02AE">
        <w:rPr>
          <w:rFonts w:ascii="Book Antiqua" w:hAnsi="Book Antiqua"/>
        </w:rPr>
        <w:fldChar w:fldCharType="begin" w:fldLock="1"/>
      </w:r>
      <w:r w:rsidR="00414414" w:rsidRPr="00AD02AE">
        <w:rPr>
          <w:rFonts w:ascii="Book Antiqua" w:hAnsi="Book Antiqua"/>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an…","author":[{"dropping-particle":"","family":"Akbar","given":"Muhammad Gary Gagarin","non-dropping-particle":"","parse-names":false,"suffix":""}],"id":"ITEM-1","issued":{"date-parts":[["2023"]]},"number-of-pages":"119","title":"REFORMULASI PENGATURAN KEDUDUKAN MANDIRI PERUSAHAAN PERSEROAN DALAM RANGKA MEWUJUDKAN GOOD CORPORATE GOVERNANCE","type":"thesis"},"uris":["http://www.mendeley.com/documents/?uuid=44c0c1bd-5a08-476e-b2cc-cd1c2ce6dda8"]}],"mendeley":{"formattedCitation":"Muhammad Gary Gagarin Akbar, “REFORMULASI PENGATURAN KEDUDUKAN MANDIRI PERUSAHAAN PERSEROAN DALAM RANGKA MEWUJUDKAN GOOD CORPORATE GOVERNANCE” (2023).","plainTextFormattedCitation":"Muhammad Gary Gagarin Akbar, “REFORMULASI PENGATURAN KEDUDUKAN MANDIRI PERUSAHAAN PERSEROAN DALAM RANGKA MEWUJUDKAN GOOD CORPORATE GOVERNANCE” (2023).","previouslyFormattedCitation":"Muhammad Gary Gagarin Akbar, “REFORMULASI PENGATURAN KEDUDUKAN MANDIRI PERUSAHAAN PERSEROAN DALAM RANGKA MEWUJUDKAN GOOD CORPORATE GOVERNANCE” (2023)."},"properties":{"noteIndex":19},"schema":"https://github.com/citation-style-language/schema/raw/master/csl-citation.json"}</w:instrText>
      </w:r>
      <w:r w:rsidRPr="00AD02AE">
        <w:rPr>
          <w:rFonts w:ascii="Book Antiqua" w:hAnsi="Book Antiqua"/>
        </w:rPr>
        <w:fldChar w:fldCharType="separate"/>
      </w:r>
      <w:r w:rsidRPr="00AD02AE">
        <w:rPr>
          <w:rFonts w:ascii="Book Antiqua" w:hAnsi="Book Antiqua"/>
          <w:noProof/>
        </w:rPr>
        <w:t>Muhammad Gary Gagarin Akbar, “REFORMULASI PENGATURAN KEDUDUKAN MANDIRI PERUSAHAAN PERSEROAN DALAM RANGKA MEWUJUDKAN GOOD CORPORATE GOVERNANCE” (2023).</w:t>
      </w:r>
      <w:r w:rsidRPr="00AD02AE">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674BC" w14:textId="77777777" w:rsidR="003A7613" w:rsidRPr="003A7613" w:rsidRDefault="003A7613" w:rsidP="003A7613">
    <w:pPr>
      <w:pStyle w:val="Header"/>
      <w:rPr>
        <w:rFonts w:ascii="Times New Roman" w:hAnsi="Times New Roman" w:cs="Times New Roman"/>
        <w:i/>
        <w:iCs/>
        <w:sz w:val="20"/>
        <w:szCs w:val="20"/>
        <w:lang w:val="id-ID"/>
      </w:rPr>
    </w:pPr>
    <w:r w:rsidRPr="003A7613">
      <w:rPr>
        <w:rFonts w:ascii="Times New Roman" w:hAnsi="Times New Roman" w:cs="Times New Roman"/>
        <w:b/>
        <w:i/>
        <w:sz w:val="20"/>
        <w:szCs w:val="20"/>
        <w:lang w:val="id-ID"/>
      </w:rPr>
      <w:t xml:space="preserve">E-ISSN: </w:t>
    </w:r>
    <w:r w:rsidRPr="003A7613">
      <w:rPr>
        <w:rFonts w:ascii="Times New Roman" w:hAnsi="Times New Roman" w:cs="Times New Roman"/>
        <w:i/>
        <w:iCs/>
        <w:sz w:val="20"/>
        <w:szCs w:val="20"/>
      </w:rPr>
      <w:t>Nomor 2303-0569</w:t>
    </w:r>
  </w:p>
  <w:p w14:paraId="4390097C" w14:textId="77777777" w:rsidR="00AD02AE" w:rsidRDefault="00AD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05A4"/>
    <w:multiLevelType w:val="hybridMultilevel"/>
    <w:tmpl w:val="545A9912"/>
    <w:lvl w:ilvl="0" w:tplc="C5248E3E">
      <w:start w:val="1"/>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23952"/>
    <w:multiLevelType w:val="multilevel"/>
    <w:tmpl w:val="8B0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9320F"/>
    <w:multiLevelType w:val="multilevel"/>
    <w:tmpl w:val="4D3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06EC3"/>
    <w:multiLevelType w:val="multilevel"/>
    <w:tmpl w:val="FCE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C465E"/>
    <w:multiLevelType w:val="multilevel"/>
    <w:tmpl w:val="0C963BF0"/>
    <w:lvl w:ilvl="0">
      <w:start w:val="1"/>
      <w:numFmt w:val="decimal"/>
      <w:lvlText w:val="%1."/>
      <w:lvlJc w:val="left"/>
      <w:pPr>
        <w:ind w:left="720" w:hanging="72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596A7CD8"/>
    <w:multiLevelType w:val="hybridMultilevel"/>
    <w:tmpl w:val="C6F89612"/>
    <w:lvl w:ilvl="0" w:tplc="139A4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DA7B37"/>
    <w:multiLevelType w:val="multilevel"/>
    <w:tmpl w:val="6E9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B79E0"/>
    <w:multiLevelType w:val="hybridMultilevel"/>
    <w:tmpl w:val="A92EDB98"/>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8" w15:restartNumberingAfterBreak="0">
    <w:nsid w:val="75B44744"/>
    <w:multiLevelType w:val="hybridMultilevel"/>
    <w:tmpl w:val="A73AEEDC"/>
    <w:lvl w:ilvl="0" w:tplc="3B3AA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F07FC6"/>
    <w:multiLevelType w:val="hybridMultilevel"/>
    <w:tmpl w:val="C1542402"/>
    <w:lvl w:ilvl="0" w:tplc="C638D794">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100485">
    <w:abstractNumId w:val="4"/>
  </w:num>
  <w:num w:numId="2" w16cid:durableId="799151812">
    <w:abstractNumId w:val="5"/>
  </w:num>
  <w:num w:numId="3" w16cid:durableId="904485475">
    <w:abstractNumId w:val="8"/>
  </w:num>
  <w:num w:numId="4" w16cid:durableId="749698968">
    <w:abstractNumId w:val="3"/>
  </w:num>
  <w:num w:numId="5" w16cid:durableId="787624133">
    <w:abstractNumId w:val="2"/>
  </w:num>
  <w:num w:numId="6" w16cid:durableId="729227928">
    <w:abstractNumId w:val="7"/>
  </w:num>
  <w:num w:numId="7" w16cid:durableId="1407342035">
    <w:abstractNumId w:val="6"/>
  </w:num>
  <w:num w:numId="8" w16cid:durableId="1802504101">
    <w:abstractNumId w:val="1"/>
  </w:num>
  <w:num w:numId="9" w16cid:durableId="1438209582">
    <w:abstractNumId w:val="9"/>
  </w:num>
  <w:num w:numId="10" w16cid:durableId="94649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75"/>
    <w:rsid w:val="00001D82"/>
    <w:rsid w:val="00002D44"/>
    <w:rsid w:val="00025821"/>
    <w:rsid w:val="00026069"/>
    <w:rsid w:val="00042AC7"/>
    <w:rsid w:val="000453EA"/>
    <w:rsid w:val="000571BD"/>
    <w:rsid w:val="0007101B"/>
    <w:rsid w:val="00074449"/>
    <w:rsid w:val="00091CD9"/>
    <w:rsid w:val="000A4565"/>
    <w:rsid w:val="000C1376"/>
    <w:rsid w:val="000C6469"/>
    <w:rsid w:val="000D32B8"/>
    <w:rsid w:val="001016E8"/>
    <w:rsid w:val="00103A30"/>
    <w:rsid w:val="00106648"/>
    <w:rsid w:val="001334EA"/>
    <w:rsid w:val="00140B06"/>
    <w:rsid w:val="00144D4A"/>
    <w:rsid w:val="0015481A"/>
    <w:rsid w:val="0017036C"/>
    <w:rsid w:val="00171301"/>
    <w:rsid w:val="00172AF3"/>
    <w:rsid w:val="00185812"/>
    <w:rsid w:val="001A76F5"/>
    <w:rsid w:val="001B2B85"/>
    <w:rsid w:val="001C7AF7"/>
    <w:rsid w:val="001D6A7C"/>
    <w:rsid w:val="001D6CEF"/>
    <w:rsid w:val="001E2A03"/>
    <w:rsid w:val="001F3147"/>
    <w:rsid w:val="0020756A"/>
    <w:rsid w:val="002212AF"/>
    <w:rsid w:val="00226B2E"/>
    <w:rsid w:val="002362CF"/>
    <w:rsid w:val="00246BB5"/>
    <w:rsid w:val="00260DE3"/>
    <w:rsid w:val="0026227D"/>
    <w:rsid w:val="00273C4C"/>
    <w:rsid w:val="00276545"/>
    <w:rsid w:val="002A2D6B"/>
    <w:rsid w:val="002A43A9"/>
    <w:rsid w:val="002B4028"/>
    <w:rsid w:val="002D58F2"/>
    <w:rsid w:val="002E0E5F"/>
    <w:rsid w:val="002E4E9C"/>
    <w:rsid w:val="00300D6B"/>
    <w:rsid w:val="003017F8"/>
    <w:rsid w:val="00305E00"/>
    <w:rsid w:val="00312910"/>
    <w:rsid w:val="00320C37"/>
    <w:rsid w:val="00324B0F"/>
    <w:rsid w:val="00346A24"/>
    <w:rsid w:val="0035386E"/>
    <w:rsid w:val="00365A65"/>
    <w:rsid w:val="003707CA"/>
    <w:rsid w:val="00372843"/>
    <w:rsid w:val="003749CD"/>
    <w:rsid w:val="0037506C"/>
    <w:rsid w:val="003755E5"/>
    <w:rsid w:val="00382586"/>
    <w:rsid w:val="003A7613"/>
    <w:rsid w:val="003B35B1"/>
    <w:rsid w:val="003C0199"/>
    <w:rsid w:val="003C1022"/>
    <w:rsid w:val="003C2E2B"/>
    <w:rsid w:val="003C7380"/>
    <w:rsid w:val="003D2B9A"/>
    <w:rsid w:val="003D2F84"/>
    <w:rsid w:val="004062B4"/>
    <w:rsid w:val="00414414"/>
    <w:rsid w:val="00430CDB"/>
    <w:rsid w:val="00457BFF"/>
    <w:rsid w:val="00460F0D"/>
    <w:rsid w:val="004707F7"/>
    <w:rsid w:val="00496DD8"/>
    <w:rsid w:val="004A6225"/>
    <w:rsid w:val="004B3196"/>
    <w:rsid w:val="004C1D0C"/>
    <w:rsid w:val="004D3F06"/>
    <w:rsid w:val="004E2A45"/>
    <w:rsid w:val="004F0D5A"/>
    <w:rsid w:val="00521202"/>
    <w:rsid w:val="00536B71"/>
    <w:rsid w:val="00556FF5"/>
    <w:rsid w:val="0056297F"/>
    <w:rsid w:val="00595363"/>
    <w:rsid w:val="005A2181"/>
    <w:rsid w:val="005A2520"/>
    <w:rsid w:val="005A3F7A"/>
    <w:rsid w:val="005A69CD"/>
    <w:rsid w:val="005B364D"/>
    <w:rsid w:val="005B3EA3"/>
    <w:rsid w:val="005C5BDF"/>
    <w:rsid w:val="005D20FA"/>
    <w:rsid w:val="005E32CF"/>
    <w:rsid w:val="005E4D61"/>
    <w:rsid w:val="005E543A"/>
    <w:rsid w:val="005F1344"/>
    <w:rsid w:val="005F4750"/>
    <w:rsid w:val="00626F32"/>
    <w:rsid w:val="00634AEA"/>
    <w:rsid w:val="00643931"/>
    <w:rsid w:val="00650F15"/>
    <w:rsid w:val="00651E5E"/>
    <w:rsid w:val="0065753D"/>
    <w:rsid w:val="00675F21"/>
    <w:rsid w:val="00680151"/>
    <w:rsid w:val="00695E01"/>
    <w:rsid w:val="006A3D79"/>
    <w:rsid w:val="006D08CC"/>
    <w:rsid w:val="006D7794"/>
    <w:rsid w:val="00720D15"/>
    <w:rsid w:val="0073299B"/>
    <w:rsid w:val="007415FB"/>
    <w:rsid w:val="00747435"/>
    <w:rsid w:val="0076087F"/>
    <w:rsid w:val="007779BB"/>
    <w:rsid w:val="00783905"/>
    <w:rsid w:val="007845D2"/>
    <w:rsid w:val="0079017B"/>
    <w:rsid w:val="0079385C"/>
    <w:rsid w:val="007A174B"/>
    <w:rsid w:val="007A1B4A"/>
    <w:rsid w:val="007C1E0E"/>
    <w:rsid w:val="007C3D50"/>
    <w:rsid w:val="007C4A1B"/>
    <w:rsid w:val="007D7623"/>
    <w:rsid w:val="007E0610"/>
    <w:rsid w:val="007F2741"/>
    <w:rsid w:val="008023BE"/>
    <w:rsid w:val="00802892"/>
    <w:rsid w:val="00817A6E"/>
    <w:rsid w:val="00821E99"/>
    <w:rsid w:val="008259AD"/>
    <w:rsid w:val="00830747"/>
    <w:rsid w:val="0083730C"/>
    <w:rsid w:val="00843DF4"/>
    <w:rsid w:val="00867C34"/>
    <w:rsid w:val="008704EB"/>
    <w:rsid w:val="008D331B"/>
    <w:rsid w:val="009020A3"/>
    <w:rsid w:val="009047B9"/>
    <w:rsid w:val="00932CDE"/>
    <w:rsid w:val="0096659A"/>
    <w:rsid w:val="009715D8"/>
    <w:rsid w:val="009A06C4"/>
    <w:rsid w:val="009A26E0"/>
    <w:rsid w:val="009A547A"/>
    <w:rsid w:val="009B738C"/>
    <w:rsid w:val="009C0D4E"/>
    <w:rsid w:val="00A02771"/>
    <w:rsid w:val="00A063D8"/>
    <w:rsid w:val="00A07613"/>
    <w:rsid w:val="00A14E4F"/>
    <w:rsid w:val="00A37AD4"/>
    <w:rsid w:val="00A6085F"/>
    <w:rsid w:val="00A96BA6"/>
    <w:rsid w:val="00AA3E70"/>
    <w:rsid w:val="00AD02AE"/>
    <w:rsid w:val="00AD1BA9"/>
    <w:rsid w:val="00AD2807"/>
    <w:rsid w:val="00AD6169"/>
    <w:rsid w:val="00AF1052"/>
    <w:rsid w:val="00AF1906"/>
    <w:rsid w:val="00AF3647"/>
    <w:rsid w:val="00B44AEC"/>
    <w:rsid w:val="00B574C7"/>
    <w:rsid w:val="00B6359C"/>
    <w:rsid w:val="00B657C9"/>
    <w:rsid w:val="00B67B8D"/>
    <w:rsid w:val="00B72352"/>
    <w:rsid w:val="00B73668"/>
    <w:rsid w:val="00B83298"/>
    <w:rsid w:val="00B90CAB"/>
    <w:rsid w:val="00B929EB"/>
    <w:rsid w:val="00BA1D0B"/>
    <w:rsid w:val="00BA30AB"/>
    <w:rsid w:val="00BC2358"/>
    <w:rsid w:val="00BF19B5"/>
    <w:rsid w:val="00BF7A5B"/>
    <w:rsid w:val="00C30AF9"/>
    <w:rsid w:val="00C35EB0"/>
    <w:rsid w:val="00C35EFB"/>
    <w:rsid w:val="00C360E5"/>
    <w:rsid w:val="00C442CC"/>
    <w:rsid w:val="00C451B2"/>
    <w:rsid w:val="00C538EC"/>
    <w:rsid w:val="00C62E41"/>
    <w:rsid w:val="00C66399"/>
    <w:rsid w:val="00C961C2"/>
    <w:rsid w:val="00C9654F"/>
    <w:rsid w:val="00CC343F"/>
    <w:rsid w:val="00CD1983"/>
    <w:rsid w:val="00CE10C4"/>
    <w:rsid w:val="00CE599D"/>
    <w:rsid w:val="00D0254A"/>
    <w:rsid w:val="00D22472"/>
    <w:rsid w:val="00D22D39"/>
    <w:rsid w:val="00D26DE3"/>
    <w:rsid w:val="00D65D37"/>
    <w:rsid w:val="00D72AA7"/>
    <w:rsid w:val="00D75508"/>
    <w:rsid w:val="00D814DE"/>
    <w:rsid w:val="00DB382D"/>
    <w:rsid w:val="00DD474E"/>
    <w:rsid w:val="00DF0083"/>
    <w:rsid w:val="00E24DD3"/>
    <w:rsid w:val="00E318B5"/>
    <w:rsid w:val="00E52D75"/>
    <w:rsid w:val="00E55A3C"/>
    <w:rsid w:val="00E84249"/>
    <w:rsid w:val="00EA1CF1"/>
    <w:rsid w:val="00EB5BFB"/>
    <w:rsid w:val="00EB77B9"/>
    <w:rsid w:val="00EC5E92"/>
    <w:rsid w:val="00EE1DD4"/>
    <w:rsid w:val="00EE6A6B"/>
    <w:rsid w:val="00EF52D8"/>
    <w:rsid w:val="00F060F6"/>
    <w:rsid w:val="00F07F6D"/>
    <w:rsid w:val="00F168E4"/>
    <w:rsid w:val="00F2513B"/>
    <w:rsid w:val="00F304D9"/>
    <w:rsid w:val="00F44914"/>
    <w:rsid w:val="00F4703B"/>
    <w:rsid w:val="00F531DF"/>
    <w:rsid w:val="00F642B0"/>
    <w:rsid w:val="00F67758"/>
    <w:rsid w:val="00F70749"/>
    <w:rsid w:val="00F84607"/>
    <w:rsid w:val="00FA30A9"/>
    <w:rsid w:val="00FB1D31"/>
    <w:rsid w:val="00FB71AE"/>
    <w:rsid w:val="00FC1015"/>
    <w:rsid w:val="00FF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8A8E"/>
  <w15:chartTrackingRefBased/>
  <w15:docId w15:val="{09B3AD1A-A4EC-4A75-A792-CA10599B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52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E52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E52D75"/>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E52D75"/>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E52D75"/>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E52D7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52D7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52D7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52D7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52D75"/>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E52D75"/>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E52D75"/>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E52D75"/>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E52D75"/>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E52D7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52D7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52D7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52D75"/>
    <w:rPr>
      <w:rFonts w:eastAsiaTheme="majorEastAsia" w:cstheme="majorBidi"/>
      <w:color w:val="272727" w:themeColor="text1" w:themeTint="D8"/>
    </w:rPr>
  </w:style>
  <w:style w:type="paragraph" w:styleId="Judul">
    <w:name w:val="Title"/>
    <w:basedOn w:val="Normal"/>
    <w:next w:val="Normal"/>
    <w:link w:val="JudulKAR"/>
    <w:uiPriority w:val="10"/>
    <w:qFormat/>
    <w:rsid w:val="00E52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52D7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52D7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52D7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52D75"/>
    <w:pPr>
      <w:spacing w:before="160"/>
      <w:jc w:val="center"/>
    </w:pPr>
    <w:rPr>
      <w:i/>
      <w:iCs/>
      <w:color w:val="404040" w:themeColor="text1" w:themeTint="BF"/>
    </w:rPr>
  </w:style>
  <w:style w:type="character" w:customStyle="1" w:styleId="KutipanKAR">
    <w:name w:val="Kutipan KAR"/>
    <w:basedOn w:val="FontParagrafDefault"/>
    <w:link w:val="Kutipan"/>
    <w:uiPriority w:val="29"/>
    <w:rsid w:val="00E52D75"/>
    <w:rPr>
      <w:i/>
      <w:iCs/>
      <w:color w:val="404040" w:themeColor="text1" w:themeTint="BF"/>
    </w:rPr>
  </w:style>
  <w:style w:type="paragraph" w:styleId="DaftarParagraf">
    <w:name w:val="List Paragraph"/>
    <w:basedOn w:val="Normal"/>
    <w:uiPriority w:val="34"/>
    <w:qFormat/>
    <w:rsid w:val="00E52D75"/>
    <w:pPr>
      <w:ind w:left="720"/>
      <w:contextualSpacing/>
    </w:pPr>
  </w:style>
  <w:style w:type="character" w:styleId="PenekananKeras">
    <w:name w:val="Intense Emphasis"/>
    <w:basedOn w:val="FontParagrafDefault"/>
    <w:uiPriority w:val="21"/>
    <w:qFormat/>
    <w:rsid w:val="00E52D75"/>
    <w:rPr>
      <w:i/>
      <w:iCs/>
      <w:color w:val="0F4761" w:themeColor="accent1" w:themeShade="BF"/>
    </w:rPr>
  </w:style>
  <w:style w:type="paragraph" w:styleId="KutipanyangSering">
    <w:name w:val="Intense Quote"/>
    <w:basedOn w:val="Normal"/>
    <w:next w:val="Normal"/>
    <w:link w:val="KutipanyangSeringKAR"/>
    <w:uiPriority w:val="30"/>
    <w:qFormat/>
    <w:rsid w:val="00E52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E52D75"/>
    <w:rPr>
      <w:i/>
      <w:iCs/>
      <w:color w:val="0F4761" w:themeColor="accent1" w:themeShade="BF"/>
    </w:rPr>
  </w:style>
  <w:style w:type="character" w:styleId="ReferensiyangSering">
    <w:name w:val="Intense Reference"/>
    <w:basedOn w:val="FontParagrafDefault"/>
    <w:uiPriority w:val="32"/>
    <w:qFormat/>
    <w:rsid w:val="00E52D75"/>
    <w:rPr>
      <w:b/>
      <w:bCs/>
      <w:smallCaps/>
      <w:color w:val="0F4761" w:themeColor="accent1" w:themeShade="BF"/>
      <w:spacing w:val="5"/>
    </w:rPr>
  </w:style>
  <w:style w:type="character" w:styleId="Hyperlink">
    <w:name w:val="Hyperlink"/>
    <w:basedOn w:val="FontParagrafDefault"/>
    <w:uiPriority w:val="99"/>
    <w:unhideWhenUsed/>
    <w:rsid w:val="00F4703B"/>
    <w:rPr>
      <w:color w:val="467886" w:themeColor="hyperlink"/>
      <w:u w:val="single"/>
    </w:rPr>
  </w:style>
  <w:style w:type="character" w:styleId="SebutanYangBelumTerselesaikan">
    <w:name w:val="Unresolved Mention"/>
    <w:basedOn w:val="FontParagrafDefault"/>
    <w:uiPriority w:val="99"/>
    <w:semiHidden/>
    <w:unhideWhenUsed/>
    <w:rsid w:val="00F4703B"/>
    <w:rPr>
      <w:color w:val="605E5C"/>
      <w:shd w:val="clear" w:color="auto" w:fill="E1DFDD"/>
    </w:rPr>
  </w:style>
  <w:style w:type="paragraph" w:styleId="TeksCatatanKaki">
    <w:name w:val="footnote text"/>
    <w:basedOn w:val="Normal"/>
    <w:link w:val="TeksCatatanKakiKAR"/>
    <w:uiPriority w:val="99"/>
    <w:semiHidden/>
    <w:unhideWhenUsed/>
    <w:rsid w:val="007C1E0E"/>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C1E0E"/>
    <w:rPr>
      <w:sz w:val="20"/>
      <w:szCs w:val="20"/>
    </w:rPr>
  </w:style>
  <w:style w:type="character" w:styleId="ReferensiCatatanKaki">
    <w:name w:val="footnote reference"/>
    <w:basedOn w:val="FontParagrafDefault"/>
    <w:uiPriority w:val="99"/>
    <w:semiHidden/>
    <w:unhideWhenUsed/>
    <w:rsid w:val="007C1E0E"/>
    <w:rPr>
      <w:vertAlign w:val="superscript"/>
    </w:rPr>
  </w:style>
  <w:style w:type="paragraph" w:styleId="NormalWeb">
    <w:name w:val="Normal (Web)"/>
    <w:basedOn w:val="Normal"/>
    <w:uiPriority w:val="99"/>
    <w:semiHidden/>
    <w:unhideWhenUsed/>
    <w:rsid w:val="00521202"/>
    <w:rPr>
      <w:rFonts w:ascii="Times New Roman" w:hAnsi="Times New Roman" w:cs="Times New Roman"/>
    </w:rPr>
  </w:style>
  <w:style w:type="character" w:styleId="ReferensiKomentar">
    <w:name w:val="annotation reference"/>
    <w:basedOn w:val="FontParagrafDefault"/>
    <w:uiPriority w:val="99"/>
    <w:semiHidden/>
    <w:unhideWhenUsed/>
    <w:rsid w:val="00595363"/>
    <w:rPr>
      <w:sz w:val="16"/>
      <w:szCs w:val="16"/>
    </w:rPr>
  </w:style>
  <w:style w:type="paragraph" w:styleId="TeksKomentar">
    <w:name w:val="annotation text"/>
    <w:basedOn w:val="Normal"/>
    <w:link w:val="TeksKomentarKAR"/>
    <w:uiPriority w:val="99"/>
    <w:semiHidden/>
    <w:unhideWhenUsed/>
    <w:rsid w:val="00595363"/>
    <w:pPr>
      <w:spacing w:line="240" w:lineRule="auto"/>
    </w:pPr>
    <w:rPr>
      <w:sz w:val="20"/>
      <w:szCs w:val="20"/>
    </w:rPr>
  </w:style>
  <w:style w:type="character" w:customStyle="1" w:styleId="TeksKomentarKAR">
    <w:name w:val="Teks Komentar KAR"/>
    <w:basedOn w:val="FontParagrafDefault"/>
    <w:link w:val="TeksKomentar"/>
    <w:uiPriority w:val="99"/>
    <w:semiHidden/>
    <w:rsid w:val="00595363"/>
    <w:rPr>
      <w:sz w:val="20"/>
      <w:szCs w:val="20"/>
    </w:rPr>
  </w:style>
  <w:style w:type="paragraph" w:styleId="SubjekKomentar">
    <w:name w:val="annotation subject"/>
    <w:basedOn w:val="TeksKomentar"/>
    <w:next w:val="TeksKomentar"/>
    <w:link w:val="SubjekKomentarKAR"/>
    <w:uiPriority w:val="99"/>
    <w:semiHidden/>
    <w:unhideWhenUsed/>
    <w:rsid w:val="00595363"/>
    <w:rPr>
      <w:b/>
      <w:bCs/>
    </w:rPr>
  </w:style>
  <w:style w:type="character" w:customStyle="1" w:styleId="SubjekKomentarKAR">
    <w:name w:val="Subjek Komentar KAR"/>
    <w:basedOn w:val="TeksKomentarKAR"/>
    <w:link w:val="SubjekKomentar"/>
    <w:uiPriority w:val="99"/>
    <w:semiHidden/>
    <w:rsid w:val="00595363"/>
    <w:rPr>
      <w:b/>
      <w:bCs/>
      <w:sz w:val="20"/>
      <w:szCs w:val="20"/>
    </w:rPr>
  </w:style>
  <w:style w:type="paragraph" w:styleId="TeksCatatanAkhir">
    <w:name w:val="endnote text"/>
    <w:basedOn w:val="Normal"/>
    <w:link w:val="TeksCatatanAkhirKAR"/>
    <w:uiPriority w:val="99"/>
    <w:semiHidden/>
    <w:unhideWhenUsed/>
    <w:rsid w:val="00260DE3"/>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60DE3"/>
    <w:rPr>
      <w:sz w:val="20"/>
      <w:szCs w:val="20"/>
    </w:rPr>
  </w:style>
  <w:style w:type="character" w:styleId="ReferensiCatatanAkhir">
    <w:name w:val="endnote reference"/>
    <w:basedOn w:val="FontParagrafDefault"/>
    <w:uiPriority w:val="99"/>
    <w:semiHidden/>
    <w:unhideWhenUsed/>
    <w:rsid w:val="00260DE3"/>
    <w:rPr>
      <w:vertAlign w:val="superscript"/>
    </w:rPr>
  </w:style>
  <w:style w:type="table" w:styleId="KisiTabel">
    <w:name w:val="Table Grid"/>
    <w:basedOn w:val="TabelNormal"/>
    <w:uiPriority w:val="39"/>
    <w:rsid w:val="0093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qFormat/>
    <w:rsid w:val="00AD02AE"/>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AD02AE"/>
  </w:style>
  <w:style w:type="paragraph" w:styleId="Footer">
    <w:name w:val="footer"/>
    <w:basedOn w:val="Normal"/>
    <w:link w:val="FooterKAR"/>
    <w:uiPriority w:val="99"/>
    <w:unhideWhenUsed/>
    <w:rsid w:val="00AD02AE"/>
    <w:pPr>
      <w:tabs>
        <w:tab w:val="center" w:pos="4513"/>
        <w:tab w:val="right" w:pos="9026"/>
      </w:tabs>
      <w:spacing w:after="0" w:line="240" w:lineRule="auto"/>
    </w:pPr>
  </w:style>
  <w:style w:type="character" w:customStyle="1" w:styleId="FooterKAR">
    <w:name w:val="Footer KAR"/>
    <w:basedOn w:val="FontParagrafDefault"/>
    <w:link w:val="Footer"/>
    <w:uiPriority w:val="99"/>
    <w:rsid w:val="00AD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0301">
      <w:bodyDiv w:val="1"/>
      <w:marLeft w:val="0"/>
      <w:marRight w:val="0"/>
      <w:marTop w:val="0"/>
      <w:marBottom w:val="0"/>
      <w:divBdr>
        <w:top w:val="none" w:sz="0" w:space="0" w:color="auto"/>
        <w:left w:val="none" w:sz="0" w:space="0" w:color="auto"/>
        <w:bottom w:val="none" w:sz="0" w:space="0" w:color="auto"/>
        <w:right w:val="none" w:sz="0" w:space="0" w:color="auto"/>
      </w:divBdr>
    </w:div>
    <w:div w:id="20084395">
      <w:bodyDiv w:val="1"/>
      <w:marLeft w:val="0"/>
      <w:marRight w:val="0"/>
      <w:marTop w:val="0"/>
      <w:marBottom w:val="0"/>
      <w:divBdr>
        <w:top w:val="none" w:sz="0" w:space="0" w:color="auto"/>
        <w:left w:val="none" w:sz="0" w:space="0" w:color="auto"/>
        <w:bottom w:val="none" w:sz="0" w:space="0" w:color="auto"/>
        <w:right w:val="none" w:sz="0" w:space="0" w:color="auto"/>
      </w:divBdr>
    </w:div>
    <w:div w:id="84812232">
      <w:bodyDiv w:val="1"/>
      <w:marLeft w:val="0"/>
      <w:marRight w:val="0"/>
      <w:marTop w:val="0"/>
      <w:marBottom w:val="0"/>
      <w:divBdr>
        <w:top w:val="none" w:sz="0" w:space="0" w:color="auto"/>
        <w:left w:val="none" w:sz="0" w:space="0" w:color="auto"/>
        <w:bottom w:val="none" w:sz="0" w:space="0" w:color="auto"/>
        <w:right w:val="none" w:sz="0" w:space="0" w:color="auto"/>
      </w:divBdr>
    </w:div>
    <w:div w:id="219555732">
      <w:bodyDiv w:val="1"/>
      <w:marLeft w:val="0"/>
      <w:marRight w:val="0"/>
      <w:marTop w:val="0"/>
      <w:marBottom w:val="0"/>
      <w:divBdr>
        <w:top w:val="none" w:sz="0" w:space="0" w:color="auto"/>
        <w:left w:val="none" w:sz="0" w:space="0" w:color="auto"/>
        <w:bottom w:val="none" w:sz="0" w:space="0" w:color="auto"/>
        <w:right w:val="none" w:sz="0" w:space="0" w:color="auto"/>
      </w:divBdr>
    </w:div>
    <w:div w:id="379212916">
      <w:bodyDiv w:val="1"/>
      <w:marLeft w:val="0"/>
      <w:marRight w:val="0"/>
      <w:marTop w:val="0"/>
      <w:marBottom w:val="0"/>
      <w:divBdr>
        <w:top w:val="none" w:sz="0" w:space="0" w:color="auto"/>
        <w:left w:val="none" w:sz="0" w:space="0" w:color="auto"/>
        <w:bottom w:val="none" w:sz="0" w:space="0" w:color="auto"/>
        <w:right w:val="none" w:sz="0" w:space="0" w:color="auto"/>
      </w:divBdr>
    </w:div>
    <w:div w:id="429815344">
      <w:bodyDiv w:val="1"/>
      <w:marLeft w:val="0"/>
      <w:marRight w:val="0"/>
      <w:marTop w:val="0"/>
      <w:marBottom w:val="0"/>
      <w:divBdr>
        <w:top w:val="none" w:sz="0" w:space="0" w:color="auto"/>
        <w:left w:val="none" w:sz="0" w:space="0" w:color="auto"/>
        <w:bottom w:val="none" w:sz="0" w:space="0" w:color="auto"/>
        <w:right w:val="none" w:sz="0" w:space="0" w:color="auto"/>
      </w:divBdr>
    </w:div>
    <w:div w:id="443229357">
      <w:bodyDiv w:val="1"/>
      <w:marLeft w:val="0"/>
      <w:marRight w:val="0"/>
      <w:marTop w:val="0"/>
      <w:marBottom w:val="0"/>
      <w:divBdr>
        <w:top w:val="none" w:sz="0" w:space="0" w:color="auto"/>
        <w:left w:val="none" w:sz="0" w:space="0" w:color="auto"/>
        <w:bottom w:val="none" w:sz="0" w:space="0" w:color="auto"/>
        <w:right w:val="none" w:sz="0" w:space="0" w:color="auto"/>
      </w:divBdr>
      <w:divsChild>
        <w:div w:id="1682120310">
          <w:marLeft w:val="0"/>
          <w:marRight w:val="0"/>
          <w:marTop w:val="0"/>
          <w:marBottom w:val="0"/>
          <w:divBdr>
            <w:top w:val="none" w:sz="0" w:space="0" w:color="auto"/>
            <w:left w:val="none" w:sz="0" w:space="0" w:color="auto"/>
            <w:bottom w:val="none" w:sz="0" w:space="0" w:color="auto"/>
            <w:right w:val="none" w:sz="0" w:space="0" w:color="auto"/>
          </w:divBdr>
          <w:divsChild>
            <w:div w:id="1083454453">
              <w:marLeft w:val="0"/>
              <w:marRight w:val="0"/>
              <w:marTop w:val="0"/>
              <w:marBottom w:val="0"/>
              <w:divBdr>
                <w:top w:val="none" w:sz="0" w:space="0" w:color="auto"/>
                <w:left w:val="none" w:sz="0" w:space="0" w:color="auto"/>
                <w:bottom w:val="none" w:sz="0" w:space="0" w:color="auto"/>
                <w:right w:val="none" w:sz="0" w:space="0" w:color="auto"/>
              </w:divBdr>
              <w:divsChild>
                <w:div w:id="1267734031">
                  <w:marLeft w:val="0"/>
                  <w:marRight w:val="0"/>
                  <w:marTop w:val="0"/>
                  <w:marBottom w:val="0"/>
                  <w:divBdr>
                    <w:top w:val="none" w:sz="0" w:space="0" w:color="auto"/>
                    <w:left w:val="none" w:sz="0" w:space="0" w:color="auto"/>
                    <w:bottom w:val="none" w:sz="0" w:space="0" w:color="auto"/>
                    <w:right w:val="none" w:sz="0" w:space="0" w:color="auto"/>
                  </w:divBdr>
                  <w:divsChild>
                    <w:div w:id="152990390">
                      <w:marLeft w:val="0"/>
                      <w:marRight w:val="0"/>
                      <w:marTop w:val="0"/>
                      <w:marBottom w:val="0"/>
                      <w:divBdr>
                        <w:top w:val="none" w:sz="0" w:space="0" w:color="auto"/>
                        <w:left w:val="none" w:sz="0" w:space="0" w:color="auto"/>
                        <w:bottom w:val="none" w:sz="0" w:space="0" w:color="auto"/>
                        <w:right w:val="none" w:sz="0" w:space="0" w:color="auto"/>
                      </w:divBdr>
                      <w:divsChild>
                        <w:div w:id="1514487666">
                          <w:marLeft w:val="0"/>
                          <w:marRight w:val="0"/>
                          <w:marTop w:val="0"/>
                          <w:marBottom w:val="0"/>
                          <w:divBdr>
                            <w:top w:val="none" w:sz="0" w:space="0" w:color="auto"/>
                            <w:left w:val="none" w:sz="0" w:space="0" w:color="auto"/>
                            <w:bottom w:val="none" w:sz="0" w:space="0" w:color="auto"/>
                            <w:right w:val="none" w:sz="0" w:space="0" w:color="auto"/>
                          </w:divBdr>
                          <w:divsChild>
                            <w:div w:id="12403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82100">
      <w:bodyDiv w:val="1"/>
      <w:marLeft w:val="0"/>
      <w:marRight w:val="0"/>
      <w:marTop w:val="0"/>
      <w:marBottom w:val="0"/>
      <w:divBdr>
        <w:top w:val="none" w:sz="0" w:space="0" w:color="auto"/>
        <w:left w:val="none" w:sz="0" w:space="0" w:color="auto"/>
        <w:bottom w:val="none" w:sz="0" w:space="0" w:color="auto"/>
        <w:right w:val="none" w:sz="0" w:space="0" w:color="auto"/>
      </w:divBdr>
    </w:div>
    <w:div w:id="877427993">
      <w:bodyDiv w:val="1"/>
      <w:marLeft w:val="0"/>
      <w:marRight w:val="0"/>
      <w:marTop w:val="0"/>
      <w:marBottom w:val="0"/>
      <w:divBdr>
        <w:top w:val="none" w:sz="0" w:space="0" w:color="auto"/>
        <w:left w:val="none" w:sz="0" w:space="0" w:color="auto"/>
        <w:bottom w:val="none" w:sz="0" w:space="0" w:color="auto"/>
        <w:right w:val="none" w:sz="0" w:space="0" w:color="auto"/>
      </w:divBdr>
    </w:div>
    <w:div w:id="927663659">
      <w:bodyDiv w:val="1"/>
      <w:marLeft w:val="0"/>
      <w:marRight w:val="0"/>
      <w:marTop w:val="0"/>
      <w:marBottom w:val="0"/>
      <w:divBdr>
        <w:top w:val="none" w:sz="0" w:space="0" w:color="auto"/>
        <w:left w:val="none" w:sz="0" w:space="0" w:color="auto"/>
        <w:bottom w:val="none" w:sz="0" w:space="0" w:color="auto"/>
        <w:right w:val="none" w:sz="0" w:space="0" w:color="auto"/>
      </w:divBdr>
    </w:div>
    <w:div w:id="1049457100">
      <w:bodyDiv w:val="1"/>
      <w:marLeft w:val="0"/>
      <w:marRight w:val="0"/>
      <w:marTop w:val="0"/>
      <w:marBottom w:val="0"/>
      <w:divBdr>
        <w:top w:val="none" w:sz="0" w:space="0" w:color="auto"/>
        <w:left w:val="none" w:sz="0" w:space="0" w:color="auto"/>
        <w:bottom w:val="none" w:sz="0" w:space="0" w:color="auto"/>
        <w:right w:val="none" w:sz="0" w:space="0" w:color="auto"/>
      </w:divBdr>
    </w:div>
    <w:div w:id="1090585162">
      <w:bodyDiv w:val="1"/>
      <w:marLeft w:val="0"/>
      <w:marRight w:val="0"/>
      <w:marTop w:val="0"/>
      <w:marBottom w:val="0"/>
      <w:divBdr>
        <w:top w:val="none" w:sz="0" w:space="0" w:color="auto"/>
        <w:left w:val="none" w:sz="0" w:space="0" w:color="auto"/>
        <w:bottom w:val="none" w:sz="0" w:space="0" w:color="auto"/>
        <w:right w:val="none" w:sz="0" w:space="0" w:color="auto"/>
      </w:divBdr>
    </w:div>
    <w:div w:id="1309556234">
      <w:bodyDiv w:val="1"/>
      <w:marLeft w:val="0"/>
      <w:marRight w:val="0"/>
      <w:marTop w:val="0"/>
      <w:marBottom w:val="0"/>
      <w:divBdr>
        <w:top w:val="none" w:sz="0" w:space="0" w:color="auto"/>
        <w:left w:val="none" w:sz="0" w:space="0" w:color="auto"/>
        <w:bottom w:val="none" w:sz="0" w:space="0" w:color="auto"/>
        <w:right w:val="none" w:sz="0" w:space="0" w:color="auto"/>
      </w:divBdr>
    </w:div>
    <w:div w:id="1561553551">
      <w:bodyDiv w:val="1"/>
      <w:marLeft w:val="0"/>
      <w:marRight w:val="0"/>
      <w:marTop w:val="0"/>
      <w:marBottom w:val="0"/>
      <w:divBdr>
        <w:top w:val="none" w:sz="0" w:space="0" w:color="auto"/>
        <w:left w:val="none" w:sz="0" w:space="0" w:color="auto"/>
        <w:bottom w:val="none" w:sz="0" w:space="0" w:color="auto"/>
        <w:right w:val="none" w:sz="0" w:space="0" w:color="auto"/>
      </w:divBdr>
    </w:div>
    <w:div w:id="1589381861">
      <w:bodyDiv w:val="1"/>
      <w:marLeft w:val="0"/>
      <w:marRight w:val="0"/>
      <w:marTop w:val="0"/>
      <w:marBottom w:val="0"/>
      <w:divBdr>
        <w:top w:val="none" w:sz="0" w:space="0" w:color="auto"/>
        <w:left w:val="none" w:sz="0" w:space="0" w:color="auto"/>
        <w:bottom w:val="none" w:sz="0" w:space="0" w:color="auto"/>
        <w:right w:val="none" w:sz="0" w:space="0" w:color="auto"/>
      </w:divBdr>
    </w:div>
    <w:div w:id="1865744833">
      <w:bodyDiv w:val="1"/>
      <w:marLeft w:val="0"/>
      <w:marRight w:val="0"/>
      <w:marTop w:val="0"/>
      <w:marBottom w:val="0"/>
      <w:divBdr>
        <w:top w:val="none" w:sz="0" w:space="0" w:color="auto"/>
        <w:left w:val="none" w:sz="0" w:space="0" w:color="auto"/>
        <w:bottom w:val="none" w:sz="0" w:space="0" w:color="auto"/>
        <w:right w:val="none" w:sz="0" w:space="0" w:color="auto"/>
      </w:divBdr>
    </w:div>
    <w:div w:id="1990935544">
      <w:bodyDiv w:val="1"/>
      <w:marLeft w:val="0"/>
      <w:marRight w:val="0"/>
      <w:marTop w:val="0"/>
      <w:marBottom w:val="0"/>
      <w:divBdr>
        <w:top w:val="none" w:sz="0" w:space="0" w:color="auto"/>
        <w:left w:val="none" w:sz="0" w:space="0" w:color="auto"/>
        <w:bottom w:val="none" w:sz="0" w:space="0" w:color="auto"/>
        <w:right w:val="none" w:sz="0" w:space="0" w:color="auto"/>
      </w:divBdr>
    </w:div>
    <w:div w:id="2017926560">
      <w:bodyDiv w:val="1"/>
      <w:marLeft w:val="0"/>
      <w:marRight w:val="0"/>
      <w:marTop w:val="0"/>
      <w:marBottom w:val="0"/>
      <w:divBdr>
        <w:top w:val="none" w:sz="0" w:space="0" w:color="auto"/>
        <w:left w:val="none" w:sz="0" w:space="0" w:color="auto"/>
        <w:bottom w:val="none" w:sz="0" w:space="0" w:color="auto"/>
        <w:right w:val="none" w:sz="0" w:space="0" w:color="auto"/>
      </w:divBdr>
    </w:div>
    <w:div w:id="2039701645">
      <w:bodyDiv w:val="1"/>
      <w:marLeft w:val="0"/>
      <w:marRight w:val="0"/>
      <w:marTop w:val="0"/>
      <w:marBottom w:val="0"/>
      <w:divBdr>
        <w:top w:val="none" w:sz="0" w:space="0" w:color="auto"/>
        <w:left w:val="none" w:sz="0" w:space="0" w:color="auto"/>
        <w:bottom w:val="none" w:sz="0" w:space="0" w:color="auto"/>
        <w:right w:val="none" w:sz="0" w:space="0" w:color="auto"/>
      </w:divBdr>
      <w:divsChild>
        <w:div w:id="618488835">
          <w:marLeft w:val="0"/>
          <w:marRight w:val="0"/>
          <w:marTop w:val="0"/>
          <w:marBottom w:val="0"/>
          <w:divBdr>
            <w:top w:val="none" w:sz="0" w:space="0" w:color="auto"/>
            <w:left w:val="none" w:sz="0" w:space="0" w:color="auto"/>
            <w:bottom w:val="none" w:sz="0" w:space="0" w:color="auto"/>
            <w:right w:val="none" w:sz="0" w:space="0" w:color="auto"/>
          </w:divBdr>
          <w:divsChild>
            <w:div w:id="1169834583">
              <w:marLeft w:val="0"/>
              <w:marRight w:val="0"/>
              <w:marTop w:val="0"/>
              <w:marBottom w:val="0"/>
              <w:divBdr>
                <w:top w:val="none" w:sz="0" w:space="0" w:color="auto"/>
                <w:left w:val="none" w:sz="0" w:space="0" w:color="auto"/>
                <w:bottom w:val="none" w:sz="0" w:space="0" w:color="auto"/>
                <w:right w:val="none" w:sz="0" w:space="0" w:color="auto"/>
              </w:divBdr>
              <w:divsChild>
                <w:div w:id="1227187973">
                  <w:marLeft w:val="0"/>
                  <w:marRight w:val="0"/>
                  <w:marTop w:val="0"/>
                  <w:marBottom w:val="0"/>
                  <w:divBdr>
                    <w:top w:val="none" w:sz="0" w:space="0" w:color="auto"/>
                    <w:left w:val="none" w:sz="0" w:space="0" w:color="auto"/>
                    <w:bottom w:val="none" w:sz="0" w:space="0" w:color="auto"/>
                    <w:right w:val="none" w:sz="0" w:space="0" w:color="auto"/>
                  </w:divBdr>
                  <w:divsChild>
                    <w:div w:id="548801986">
                      <w:marLeft w:val="0"/>
                      <w:marRight w:val="0"/>
                      <w:marTop w:val="0"/>
                      <w:marBottom w:val="0"/>
                      <w:divBdr>
                        <w:top w:val="none" w:sz="0" w:space="0" w:color="auto"/>
                        <w:left w:val="none" w:sz="0" w:space="0" w:color="auto"/>
                        <w:bottom w:val="none" w:sz="0" w:space="0" w:color="auto"/>
                        <w:right w:val="none" w:sz="0" w:space="0" w:color="auto"/>
                      </w:divBdr>
                      <w:divsChild>
                        <w:div w:id="1443382654">
                          <w:marLeft w:val="0"/>
                          <w:marRight w:val="0"/>
                          <w:marTop w:val="0"/>
                          <w:marBottom w:val="0"/>
                          <w:divBdr>
                            <w:top w:val="none" w:sz="0" w:space="0" w:color="auto"/>
                            <w:left w:val="none" w:sz="0" w:space="0" w:color="auto"/>
                            <w:bottom w:val="none" w:sz="0" w:space="0" w:color="auto"/>
                            <w:right w:val="none" w:sz="0" w:space="0" w:color="auto"/>
                          </w:divBdr>
                          <w:divsChild>
                            <w:div w:id="1229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fanahanifah@students.unne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4843/KS.2025.v13.i10.p0" TargetMode="External"/><Relationship Id="rId4" Type="http://schemas.openxmlformats.org/officeDocument/2006/relationships/settings" Target="settings.xml"/><Relationship Id="rId9" Type="http://schemas.openxmlformats.org/officeDocument/2006/relationships/hyperlink" Target="mailto:ratihdamayanti@mail.unne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6EA0-94C1-405B-998B-9E5F1551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15</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syafanahanifah@gmail.com</dc:creator>
  <cp:keywords/>
  <dc:description/>
  <cp:lastModifiedBy>Herman Herman</cp:lastModifiedBy>
  <cp:revision>8</cp:revision>
  <cp:lastPrinted>2025-11-08T22:59:00Z</cp:lastPrinted>
  <dcterms:created xsi:type="dcterms:W3CDTF">2025-10-23T06:32:00Z</dcterms:created>
  <dcterms:modified xsi:type="dcterms:W3CDTF">2025-11-08T22:59:00Z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5043542a-8647-382e-a109-57137e462366</vt:lpwstr>
  </property>
</Properties>
</file>